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18" w:lineRule="auto"/>
        <w:rPr>
          <w:color w:val="000000"/>
        </w:rPr>
      </w:pPr>
      <w:r w:rsidDel="00000000" w:rsidR="00000000" w:rsidRPr="00000000">
        <w:rPr>
          <w:color w:val="000000"/>
          <w:rtl w:val="0"/>
        </w:rPr>
        <w:tab/>
      </w:r>
    </w:p>
    <w:p w:rsidR="00000000" w:rsidDel="00000000" w:rsidP="00000000" w:rsidRDefault="00000000" w:rsidRPr="00000000" w14:paraId="00000002">
      <w:pPr>
        <w:pStyle w:val="Heading1"/>
        <w:numPr>
          <w:ilvl w:val="0"/>
          <w:numId w:val="2"/>
        </w:numPr>
        <w:tabs>
          <w:tab w:val="left" w:leader="none" w:pos="622"/>
        </w:tabs>
        <w:ind w:left="622" w:hanging="358"/>
        <w:jc w:val="left"/>
        <w:rPr/>
      </w:pPr>
      <w:r w:rsidDel="00000000" w:rsidR="00000000" w:rsidRPr="00000000">
        <w:rPr>
          <w:rtl w:val="0"/>
        </w:rPr>
        <w:t xml:space="preserve">ASPECTOS GENERALES</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before="9" w:lineRule="auto"/>
        <w:rPr>
          <w:b w:val="1"/>
          <w:color w:val="000000"/>
        </w:rPr>
      </w:pPr>
      <w:r w:rsidDel="00000000" w:rsidR="00000000" w:rsidRPr="00000000">
        <w:rPr>
          <w:rtl w:val="0"/>
        </w:rPr>
      </w:r>
    </w:p>
    <w:tbl>
      <w:tblPr>
        <w:tblStyle w:val="Table1"/>
        <w:tblW w:w="9315.0" w:type="dxa"/>
        <w:jc w:val="left"/>
        <w:tblInd w:w="3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05"/>
        <w:gridCol w:w="4110"/>
        <w:tblGridChange w:id="0">
          <w:tblGrid>
            <w:gridCol w:w="5205"/>
            <w:gridCol w:w="4110"/>
          </w:tblGrid>
        </w:tblGridChange>
      </w:tblGrid>
      <w:tr>
        <w:trPr>
          <w:cantSplit w:val="0"/>
          <w:trHeight w:val="152" w:hRule="atLeast"/>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No. DE EXPEDIENTE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before="232" w:lineRule="auto"/>
              <w:rPr>
                <w:color w:val="000000"/>
              </w:rPr>
            </w:pPr>
            <w:r w:rsidDel="00000000" w:rsidR="00000000" w:rsidRPr="00000000">
              <w:rPr>
                <w:rtl w:val="0"/>
              </w:rPr>
              <w:t xml:space="preserve">202576002100100007E</w:t>
            </w:r>
            <w:r w:rsidDel="00000000" w:rsidR="00000000" w:rsidRPr="00000000">
              <w:rPr>
                <w:rtl w:val="0"/>
              </w:rPr>
            </w:r>
          </w:p>
        </w:tc>
      </w:tr>
      <w:tr>
        <w:trPr>
          <w:cantSplit w:val="0"/>
          <w:trHeight w:val="229"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No. de contrato o convenio</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before="232" w:line="251" w:lineRule="auto"/>
              <w:rPr>
                <w:color w:val="000000"/>
              </w:rPr>
            </w:pPr>
            <w:r w:rsidDel="00000000" w:rsidR="00000000" w:rsidRPr="00000000">
              <w:rPr>
                <w:rtl w:val="0"/>
              </w:rPr>
              <w:t xml:space="preserve">768</w:t>
            </w:r>
            <w:r w:rsidDel="00000000" w:rsidR="00000000" w:rsidRPr="00000000">
              <w:rPr>
                <w:color w:val="000000"/>
                <w:rtl w:val="0"/>
              </w:rPr>
              <w:t xml:space="preserve"> DE 2024</w:t>
            </w:r>
          </w:p>
        </w:tc>
      </w:tr>
      <w:tr>
        <w:trPr>
          <w:cantSplit w:val="0"/>
          <w:trHeight w:val="279"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before="1" w:lineRule="auto"/>
              <w:ind w:left="110" w:firstLine="0"/>
              <w:rPr>
                <w:color w:val="000000"/>
              </w:rPr>
            </w:pPr>
            <w:r w:rsidDel="00000000" w:rsidR="00000000" w:rsidRPr="00000000">
              <w:rPr>
                <w:color w:val="000000"/>
                <w:rtl w:val="0"/>
              </w:rPr>
              <w:t xml:space="preserve">Tipo de contrato</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CONVENIO INTERADMINISTRATIVO</w:t>
            </w:r>
          </w:p>
        </w:tc>
      </w:tr>
      <w:tr>
        <w:trPr>
          <w:cantSplit w:val="0"/>
          <w:trHeight w:val="567"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Contratista</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2003"/>
                <w:tab w:val="left" w:leader="none" w:pos="3396"/>
              </w:tabs>
              <w:ind w:right="103"/>
              <w:rPr>
                <w:color w:val="000000"/>
              </w:rPr>
            </w:pPr>
            <w:r w:rsidDel="00000000" w:rsidR="00000000" w:rsidRPr="00000000">
              <w:rPr>
                <w:rtl w:val="0"/>
              </w:rPr>
              <w:t xml:space="preserve">ASOCIACIÓN NACIONAL DE MÚSICA SINFÓNICA</w:t>
            </w:r>
            <w:r w:rsidDel="00000000" w:rsidR="00000000" w:rsidRPr="00000000">
              <w:rPr>
                <w:rtl w:val="0"/>
              </w:rPr>
            </w:r>
          </w:p>
        </w:tc>
      </w:tr>
      <w:tr>
        <w:trPr>
          <w:cantSplit w:val="0"/>
          <w:trHeight w:val="2248" w:hRule="atLeast"/>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Objeto del contrato</w:t>
            </w:r>
          </w:p>
        </w:tc>
        <w:tc>
          <w:tcPr/>
          <w:p w:rsidR="00000000" w:rsidDel="00000000" w:rsidP="00000000" w:rsidRDefault="00000000" w:rsidRPr="00000000" w14:paraId="0000000F">
            <w:pPr>
              <w:spacing w:before="5" w:line="235" w:lineRule="auto"/>
              <w:ind w:right="84"/>
              <w:rPr/>
            </w:pPr>
            <w:r w:rsidDel="00000000" w:rsidR="00000000" w:rsidRPr="00000000">
              <w:rPr>
                <w:rtl w:val="0"/>
              </w:rPr>
              <w:t xml:space="preserve">“Aunar esfuerzos institucionales, administrativos, técnicos, financieros y tecnológicos entre la Secretaría Distrital de Cultura Recreación y Deporte y la Asociación Nacional de Música Sinfónica, para la estructuración, preparación, lanzamiento, divulgación y previsión en general del Concurso Internacional de Violín 2025” </w:t>
            </w:r>
          </w:p>
        </w:tc>
      </w:tr>
      <w:tr>
        <w:trPr>
          <w:cantSplit w:val="0"/>
          <w:trHeight w:val="375" w:hRule="atLeast"/>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before="252" w:lineRule="auto"/>
              <w:ind w:left="141" w:hanging="141"/>
              <w:rPr>
                <w:color w:val="000000"/>
              </w:rPr>
            </w:pPr>
            <w:r w:rsidDel="00000000" w:rsidR="00000000" w:rsidRPr="00000000">
              <w:rPr>
                <w:rtl w:val="0"/>
              </w:rPr>
              <w:t xml:space="preserve"> </w:t>
            </w:r>
            <w:r w:rsidDel="00000000" w:rsidR="00000000" w:rsidRPr="00000000">
              <w:rPr>
                <w:color w:val="000000"/>
                <w:rtl w:val="0"/>
              </w:rPr>
              <w:t xml:space="preserve">Plazo</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before="4" w:line="235" w:lineRule="auto"/>
              <w:ind w:left="112" w:firstLine="0"/>
              <w:rPr>
                <w:color w:val="000000"/>
              </w:rPr>
            </w:pPr>
            <w:r w:rsidDel="00000000" w:rsidR="00000000" w:rsidRPr="00000000">
              <w:rPr>
                <w:rtl w:val="0"/>
              </w:rPr>
              <w:t xml:space="preserve">Desde 6/12/2024 hasta el 28/11/2025</w:t>
            </w:r>
            <w:r w:rsidDel="00000000" w:rsidR="00000000" w:rsidRPr="00000000">
              <w:rPr>
                <w:rtl w:val="0"/>
              </w:rPr>
            </w:r>
          </w:p>
        </w:tc>
      </w:tr>
      <w:tr>
        <w:trPr>
          <w:cantSplit w:val="0"/>
          <w:trHeight w:val="472"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before="2" w:lineRule="auto"/>
              <w:ind w:left="110" w:firstLine="0"/>
              <w:rPr>
                <w:color w:val="000000"/>
              </w:rPr>
            </w:pPr>
            <w:r w:rsidDel="00000000" w:rsidR="00000000" w:rsidRPr="00000000">
              <w:rPr>
                <w:color w:val="000000"/>
                <w:rtl w:val="0"/>
              </w:rPr>
              <w:t xml:space="preserve">Fecha del cumplimiento de los requisitos de ejecución</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before="2" w:lineRule="auto"/>
              <w:ind w:left="112" w:firstLine="0"/>
              <w:rPr>
                <w:color w:val="000000"/>
              </w:rPr>
            </w:pPr>
            <w:r w:rsidDel="00000000" w:rsidR="00000000" w:rsidRPr="00000000">
              <w:rPr>
                <w:rtl w:val="0"/>
              </w:rPr>
              <w:t xml:space="preserve">06/12/2024</w:t>
            </w:r>
            <w:r w:rsidDel="00000000" w:rsidR="00000000" w:rsidRPr="00000000">
              <w:rPr>
                <w:rtl w:val="0"/>
              </w:rPr>
            </w:r>
          </w:p>
        </w:tc>
      </w:tr>
      <w:tr>
        <w:trPr>
          <w:cantSplit w:val="0"/>
          <w:trHeight w:val="988"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before="2" w:lineRule="auto"/>
              <w:ind w:left="110" w:right="86" w:firstLine="0"/>
              <w:jc w:val="both"/>
              <w:rPr>
                <w:color w:val="000000"/>
              </w:rPr>
            </w:pPr>
            <w:r w:rsidDel="00000000" w:rsidR="00000000" w:rsidRPr="00000000">
              <w:rPr>
                <w:color w:val="000000"/>
                <w:rtl w:val="0"/>
              </w:rPr>
              <w:t xml:space="preserve">Fecha de inicio de cobertura de la ARL (esto para contratos de prestación de servicios profesionales y de apoyo a la gestión)</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before="2" w:lineRule="auto"/>
              <w:ind w:left="112" w:firstLine="0"/>
              <w:rPr>
                <w:color w:val="000000"/>
              </w:rPr>
            </w:pPr>
            <w:r w:rsidDel="00000000" w:rsidR="00000000" w:rsidRPr="00000000">
              <w:rPr>
                <w:color w:val="000000"/>
                <w:rtl w:val="0"/>
              </w:rPr>
              <w:t xml:space="preserve">N/A</w:t>
            </w:r>
          </w:p>
        </w:tc>
      </w:tr>
      <w:tr>
        <w:trPr>
          <w:cantSplit w:val="0"/>
          <w:trHeight w:val="96" w:hRule="atLeast"/>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Fecha de inicio</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ind w:left="112" w:firstLine="0"/>
              <w:rPr>
                <w:color w:val="000000"/>
              </w:rPr>
            </w:pPr>
            <w:r w:rsidDel="00000000" w:rsidR="00000000" w:rsidRPr="00000000">
              <w:rPr>
                <w:rtl w:val="0"/>
              </w:rPr>
              <w:t xml:space="preserve">6/12/2024</w:t>
            </w:r>
            <w:r w:rsidDel="00000000" w:rsidR="00000000" w:rsidRPr="00000000">
              <w:rPr>
                <w:rtl w:val="0"/>
              </w:rPr>
            </w:r>
          </w:p>
        </w:tc>
      </w:tr>
    </w:tbl>
    <w:p w:rsidR="00000000" w:rsidDel="00000000" w:rsidP="00000000" w:rsidRDefault="00000000" w:rsidRPr="00000000" w14:paraId="00000019">
      <w:pPr>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2"/>
        <w:tblW w:w="9352.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0"/>
        <w:gridCol w:w="4112"/>
        <w:tblGridChange w:id="0">
          <w:tblGrid>
            <w:gridCol w:w="5240"/>
            <w:gridCol w:w="4112"/>
          </w:tblGrid>
        </w:tblGridChange>
      </w:tblGrid>
      <w:tr>
        <w:trPr>
          <w:cantSplit w:val="0"/>
          <w:trHeight w:val="202" w:hRule="atLeast"/>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Fecha de terminación</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ind w:left="112" w:firstLine="0"/>
              <w:rPr>
                <w:color w:val="000000"/>
              </w:rPr>
            </w:pPr>
            <w:r w:rsidDel="00000000" w:rsidR="00000000" w:rsidRPr="00000000">
              <w:rPr>
                <w:rtl w:val="0"/>
              </w:rPr>
              <w:t xml:space="preserve">28/11/2025</w:t>
            </w:r>
            <w:r w:rsidDel="00000000" w:rsidR="00000000" w:rsidRPr="00000000">
              <w:rPr>
                <w:rtl w:val="0"/>
              </w:rPr>
            </w:r>
          </w:p>
        </w:tc>
      </w:tr>
      <w:tr>
        <w:trPr>
          <w:cantSplit w:val="0"/>
          <w:trHeight w:val="219" w:hRule="atLeast"/>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Período analizado o certificado (dd/mm/aa)</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ind w:left="112" w:firstLine="0"/>
              <w:rPr>
                <w:color w:val="000000"/>
              </w:rPr>
            </w:pPr>
            <w:r w:rsidDel="00000000" w:rsidR="00000000" w:rsidRPr="00000000">
              <w:rPr>
                <w:color w:val="000000"/>
                <w:rtl w:val="0"/>
              </w:rPr>
              <w:t xml:space="preserve">DEL 01/05/2025 AL 31/05/2025</w:t>
            </w:r>
          </w:p>
        </w:tc>
      </w:tr>
      <w:tr>
        <w:trPr>
          <w:cantSplit w:val="0"/>
          <w:trHeight w:val="1910" w:hRule="atLeast"/>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ind w:left="110" w:right="88" w:firstLine="0"/>
              <w:jc w:val="both"/>
              <w:rPr>
                <w:color w:val="000000"/>
              </w:rPr>
            </w:pPr>
            <w:r w:rsidDel="00000000" w:rsidR="00000000" w:rsidRPr="00000000">
              <w:rPr>
                <w:color w:val="000000"/>
                <w:rtl w:val="0"/>
              </w:rPr>
              <w:t xml:space="preserve">Estado de la Garantía. (Se deberá dejar constancia si la garantía se encuentra vigente o no de conformidad con lo exigido en el contrato, así mismo en el evento en que la garantía haya tenido actualizaciones con ocasión a alguna modificación deberá señalarse tal situación e incorporar la fecha de aprobación de la modificación de la garantía)</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ind w:left="112" w:firstLine="0"/>
              <w:rPr/>
            </w:pPr>
            <w:r w:rsidDel="00000000" w:rsidR="00000000" w:rsidRPr="00000000">
              <w:rPr>
                <w:rtl w:val="0"/>
              </w:rPr>
              <w:t xml:space="preserve">N/A</w:t>
            </w:r>
          </w:p>
        </w:tc>
      </w:tr>
    </w:tbl>
    <w:p w:rsidR="00000000" w:rsidDel="00000000" w:rsidP="00000000" w:rsidRDefault="00000000" w:rsidRPr="00000000" w14:paraId="00000020">
      <w:pPr>
        <w:pBdr>
          <w:top w:space="0" w:sz="0" w:val="nil"/>
          <w:left w:space="0" w:sz="0" w:val="nil"/>
          <w:bottom w:space="0" w:sz="0" w:val="nil"/>
          <w:right w:space="0" w:sz="0" w:val="nil"/>
          <w:between w:space="0" w:sz="0" w:val="nil"/>
        </w:pBdr>
        <w:spacing w:before="23" w:lineRule="auto"/>
        <w:rPr>
          <w:b w:val="1"/>
          <w:color w:val="000000"/>
        </w:rPr>
      </w:pPr>
      <w:r w:rsidDel="00000000" w:rsidR="00000000" w:rsidRPr="00000000">
        <w:rPr>
          <w:rtl w:val="0"/>
        </w:rPr>
      </w:r>
    </w:p>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tabs>
          <w:tab w:val="left" w:leader="none" w:pos="622"/>
        </w:tabs>
        <w:spacing w:before="1" w:lineRule="auto"/>
        <w:ind w:left="622" w:hanging="358"/>
        <w:rPr>
          <w:color w:val="000000"/>
        </w:rPr>
      </w:pPr>
      <w:r w:rsidDel="00000000" w:rsidR="00000000" w:rsidRPr="00000000">
        <w:rPr>
          <w:b w:val="1"/>
          <w:color w:val="000000"/>
          <w:rtl w:val="0"/>
        </w:rPr>
        <w:t xml:space="preserve">INFORME SOBRE EJECUCIÓN Y AVANCE DEL CONTRATO</w:t>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before="191" w:lineRule="auto"/>
        <w:ind w:firstLine="264"/>
        <w:rPr>
          <w:color w:val="000000"/>
        </w:rPr>
      </w:pPr>
      <w:r w:rsidDel="00000000" w:rsidR="00000000" w:rsidRPr="00000000">
        <w:rPr>
          <w:color w:val="000000"/>
          <w:rtl w:val="0"/>
        </w:rPr>
        <w:t xml:space="preserve">A continuación, se presenta el estado de avance de la ejecución del Convenio N°</w:t>
      </w:r>
      <w:r w:rsidDel="00000000" w:rsidR="00000000" w:rsidRPr="00000000">
        <w:rPr>
          <w:rtl w:val="0"/>
        </w:rPr>
        <w:t xml:space="preserve">768</w:t>
      </w:r>
      <w:r w:rsidDel="00000000" w:rsidR="00000000" w:rsidRPr="00000000">
        <w:rPr>
          <w:color w:val="000000"/>
          <w:rtl w:val="0"/>
        </w:rPr>
        <w:t xml:space="preserve"> de 2024.</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114300</wp:posOffset>
                </wp:positionH>
                <wp:positionV relativeFrom="paragraph">
                  <wp:posOffset>50800</wp:posOffset>
                </wp:positionV>
                <wp:extent cx="5991225" cy="753743"/>
                <wp:effectExtent b="0" l="0" r="0" t="0"/>
                <wp:wrapNone/>
                <wp:docPr id="14" name=""/>
                <a:graphic>
                  <a:graphicData uri="http://schemas.microsoft.com/office/word/2010/wordprocessingShape">
                    <wps:wsp>
                      <wps:cNvSpPr/>
                      <wps:cNvPr id="2" name="Shape 2"/>
                      <wps:spPr>
                        <a:xfrm>
                          <a:off x="2373565" y="1457170"/>
                          <a:ext cx="5944870" cy="4645660"/>
                        </a:xfrm>
                        <a:custGeom>
                          <a:rect b="b" l="l" r="r" t="t"/>
                          <a:pathLst>
                            <a:path extrusionOk="0" h="4645660" w="5944870">
                              <a:moveTo>
                                <a:pt x="5944870" y="0"/>
                              </a:moveTo>
                              <a:lnTo>
                                <a:pt x="5938520" y="0"/>
                              </a:lnTo>
                              <a:lnTo>
                                <a:pt x="5938520" y="6350"/>
                              </a:lnTo>
                              <a:lnTo>
                                <a:pt x="5938520" y="4640580"/>
                              </a:lnTo>
                              <a:lnTo>
                                <a:pt x="6350" y="4640580"/>
                              </a:lnTo>
                              <a:lnTo>
                                <a:pt x="6350" y="6350"/>
                              </a:lnTo>
                              <a:lnTo>
                                <a:pt x="5938520" y="6350"/>
                              </a:lnTo>
                              <a:lnTo>
                                <a:pt x="5938520" y="0"/>
                              </a:lnTo>
                              <a:lnTo>
                                <a:pt x="0" y="0"/>
                              </a:lnTo>
                              <a:lnTo>
                                <a:pt x="0" y="6350"/>
                              </a:lnTo>
                              <a:lnTo>
                                <a:pt x="0" y="4640580"/>
                              </a:lnTo>
                              <a:lnTo>
                                <a:pt x="0" y="4645660"/>
                              </a:lnTo>
                              <a:lnTo>
                                <a:pt x="5938520" y="4645660"/>
                              </a:lnTo>
                              <a:lnTo>
                                <a:pt x="5944870" y="4645660"/>
                              </a:lnTo>
                              <a:lnTo>
                                <a:pt x="5944870" y="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114300</wp:posOffset>
                </wp:positionH>
                <wp:positionV relativeFrom="paragraph">
                  <wp:posOffset>50800</wp:posOffset>
                </wp:positionV>
                <wp:extent cx="5991225" cy="753743"/>
                <wp:effectExtent b="0" l="0" r="0" t="0"/>
                <wp:wrapNone/>
                <wp:docPr id="1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991225" cy="753743"/>
                        </a:xfrm>
                        <a:prstGeom prst="rect"/>
                        <a:ln/>
                      </pic:spPr>
                    </pic:pic>
                  </a:graphicData>
                </a:graphic>
              </wp:anchor>
            </w:drawing>
          </mc:Fallback>
        </mc:AlternateContent>
      </w:r>
    </w:p>
    <w:p w:rsidR="00000000" w:rsidDel="00000000" w:rsidP="00000000" w:rsidRDefault="00000000" w:rsidRPr="00000000" w14:paraId="00000023">
      <w:pPr>
        <w:tabs>
          <w:tab w:val="left" w:leader="none" w:pos="1092"/>
          <w:tab w:val="left" w:leader="none" w:pos="1094"/>
        </w:tabs>
        <w:ind w:right="199"/>
        <w:rPr/>
      </w:pPr>
      <w:r w:rsidDel="00000000" w:rsidR="00000000" w:rsidRPr="00000000">
        <w:rPr>
          <w:rtl w:val="0"/>
        </w:rPr>
      </w:r>
    </w:p>
    <w:p w:rsidR="00000000" w:rsidDel="00000000" w:rsidP="00000000" w:rsidRDefault="00000000" w:rsidRPr="00000000" w14:paraId="00000024">
      <w:pPr>
        <w:pStyle w:val="Heading1"/>
        <w:spacing w:line="252.00000000000003" w:lineRule="auto"/>
        <w:ind w:left="264" w:firstLine="0"/>
        <w:jc w:val="left"/>
        <w:rPr>
          <w:b w:val="0"/>
        </w:rPr>
      </w:pPr>
      <w:r w:rsidDel="00000000" w:rsidR="00000000" w:rsidRPr="00000000">
        <w:rPr>
          <w:b w:val="0"/>
          <w:rtl w:val="0"/>
        </w:rPr>
        <w:t xml:space="preserve">Se procede a rendir el informe sobre la ejecución y cumplimiento del objeto contratado y cada una de las obligaciones pactadas así:</w:t>
      </w:r>
    </w:p>
    <w:p w:rsidR="00000000" w:rsidDel="00000000" w:rsidP="00000000" w:rsidRDefault="00000000" w:rsidRPr="00000000" w14:paraId="00000025">
      <w:pPr>
        <w:pStyle w:val="Heading1"/>
        <w:spacing w:line="252.00000000000003" w:lineRule="auto"/>
        <w:jc w:val="left"/>
        <w:rPr>
          <w:b w:val="0"/>
        </w:rPr>
      </w:pPr>
      <w:r w:rsidDel="00000000" w:rsidR="00000000" w:rsidRPr="00000000">
        <w:rPr>
          <w:rtl w:val="0"/>
        </w:rPr>
      </w:r>
    </w:p>
    <w:p w:rsidR="00000000" w:rsidDel="00000000" w:rsidP="00000000" w:rsidRDefault="00000000" w:rsidRPr="00000000" w14:paraId="00000026">
      <w:pPr>
        <w:pStyle w:val="Heading1"/>
        <w:spacing w:line="252.00000000000003" w:lineRule="auto"/>
        <w:jc w:val="left"/>
        <w:rPr>
          <w:b w:val="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before="167" w:lineRule="auto"/>
        <w:ind w:left="264" w:firstLine="0"/>
        <w:rPr>
          <w:color w:val="000000"/>
        </w:rPr>
      </w:pPr>
      <w:r w:rsidDel="00000000" w:rsidR="00000000" w:rsidRPr="00000000">
        <w:rPr>
          <w:color w:val="000000"/>
          <w:rtl w:val="0"/>
        </w:rPr>
        <w:t xml:space="preserve">OBLIGACIÓN No. 1:</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 w:before="6" w:lineRule="auto"/>
        <w:rPr>
          <w:color w:val="000000"/>
        </w:rPr>
      </w:pPr>
      <w:r w:rsidDel="00000000" w:rsidR="00000000" w:rsidRPr="00000000">
        <w:rPr>
          <w:rtl w:val="0"/>
        </w:rPr>
      </w:r>
    </w:p>
    <w:tbl>
      <w:tblPr>
        <w:tblStyle w:val="Table3"/>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blHeader w:val="0"/>
        </w:trPr>
        <w:tc>
          <w:tcPr/>
          <w:p w:rsidR="00000000" w:rsidDel="00000000" w:rsidP="00000000" w:rsidRDefault="00000000" w:rsidRPr="00000000" w14:paraId="0000002B">
            <w:pPr>
              <w:spacing w:line="229" w:lineRule="auto"/>
              <w:ind w:right="4"/>
              <w:jc w:val="both"/>
              <w:rPr>
                <w:color w:val="000000"/>
              </w:rPr>
            </w:pPr>
            <w:r w:rsidDel="00000000" w:rsidR="00000000" w:rsidRPr="00000000">
              <w:rPr>
                <w:rtl w:val="0"/>
              </w:rPr>
              <w:t xml:space="preserve">Desarrollar las actividades definidas en el Anexo Técnico y el plan de trabajo aprobado en el comité técnico, adelantando los procesos de selección, las alianzas estratégicas y las contrataciones pertinentes.</w:t>
            </w:r>
            <w:r w:rsidDel="00000000" w:rsidR="00000000" w:rsidRPr="00000000">
              <w:rPr>
                <w:rtl w:val="0"/>
              </w:rPr>
            </w:r>
          </w:p>
        </w:tc>
        <w:tc>
          <w:tcPr/>
          <w:p w:rsidR="00000000" w:rsidDel="00000000" w:rsidP="00000000" w:rsidRDefault="00000000" w:rsidRPr="00000000" w14:paraId="0000002C">
            <w:pPr>
              <w:spacing w:before="4" w:line="241" w:lineRule="auto"/>
              <w:ind w:left="112" w:firstLine="0"/>
              <w:jc w:val="both"/>
              <w:rPr/>
            </w:pPr>
            <w:r w:rsidDel="00000000" w:rsidR="00000000" w:rsidRPr="00000000">
              <w:rPr>
                <w:rtl w:val="0"/>
              </w:rPr>
              <w:t xml:space="preserve">Se creó el reglamento detallado del Concurso. Este documento contiene:</w:t>
            </w:r>
          </w:p>
          <w:p w:rsidR="00000000" w:rsidDel="00000000" w:rsidP="00000000" w:rsidRDefault="00000000" w:rsidRPr="00000000" w14:paraId="0000002D">
            <w:pPr>
              <w:spacing w:before="4" w:line="241" w:lineRule="auto"/>
              <w:ind w:left="112" w:firstLine="0"/>
              <w:jc w:val="both"/>
              <w:rPr/>
            </w:pPr>
            <w:r w:rsidDel="00000000" w:rsidR="00000000" w:rsidRPr="00000000">
              <w:rPr>
                <w:rtl w:val="0"/>
              </w:rPr>
            </w:r>
          </w:p>
          <w:p w:rsidR="00000000" w:rsidDel="00000000" w:rsidP="00000000" w:rsidRDefault="00000000" w:rsidRPr="00000000" w14:paraId="0000002E">
            <w:pPr>
              <w:spacing w:before="4" w:line="241" w:lineRule="auto"/>
              <w:ind w:left="112" w:firstLine="0"/>
              <w:jc w:val="both"/>
              <w:rPr/>
            </w:pPr>
            <w:r w:rsidDel="00000000" w:rsidR="00000000" w:rsidRPr="00000000">
              <w:rPr>
                <w:rtl w:val="0"/>
              </w:rPr>
              <w:t xml:space="preserve">-Obligaciones de candidatos, jurados de selección, jurados y presidenta del jurado.</w:t>
            </w:r>
          </w:p>
          <w:p w:rsidR="00000000" w:rsidDel="00000000" w:rsidP="00000000" w:rsidRDefault="00000000" w:rsidRPr="00000000" w14:paraId="0000002F">
            <w:pPr>
              <w:spacing w:before="4" w:line="241" w:lineRule="auto"/>
              <w:ind w:left="112" w:firstLine="0"/>
              <w:jc w:val="both"/>
              <w:rPr/>
            </w:pPr>
            <w:r w:rsidDel="00000000" w:rsidR="00000000" w:rsidRPr="00000000">
              <w:rPr>
                <w:rtl w:val="0"/>
              </w:rPr>
              <w:t xml:space="preserve">-Proceso detallado de selección.</w:t>
            </w:r>
          </w:p>
          <w:p w:rsidR="00000000" w:rsidDel="00000000" w:rsidP="00000000" w:rsidRDefault="00000000" w:rsidRPr="00000000" w14:paraId="00000030">
            <w:pPr>
              <w:spacing w:before="4" w:line="241" w:lineRule="auto"/>
              <w:ind w:left="112" w:firstLine="0"/>
              <w:jc w:val="both"/>
              <w:rPr/>
            </w:pPr>
            <w:r w:rsidDel="00000000" w:rsidR="00000000" w:rsidRPr="00000000">
              <w:rPr>
                <w:rtl w:val="0"/>
              </w:rPr>
              <w:t xml:space="preserve">-Escala de evaluación para cada ronda del Concurso.</w:t>
            </w:r>
          </w:p>
          <w:p w:rsidR="00000000" w:rsidDel="00000000" w:rsidP="00000000" w:rsidRDefault="00000000" w:rsidRPr="00000000" w14:paraId="00000031">
            <w:pPr>
              <w:spacing w:before="4" w:line="241" w:lineRule="auto"/>
              <w:ind w:left="112" w:firstLine="0"/>
              <w:jc w:val="both"/>
              <w:rPr/>
            </w:pPr>
            <w:r w:rsidDel="00000000" w:rsidR="00000000" w:rsidRPr="00000000">
              <w:rPr>
                <w:rtl w:val="0"/>
              </w:rPr>
            </w:r>
          </w:p>
          <w:p w:rsidR="00000000" w:rsidDel="00000000" w:rsidP="00000000" w:rsidRDefault="00000000" w:rsidRPr="00000000" w14:paraId="00000032">
            <w:pPr>
              <w:spacing w:before="4" w:line="241" w:lineRule="auto"/>
              <w:ind w:left="112" w:firstLine="0"/>
              <w:jc w:val="both"/>
              <w:rPr/>
            </w:pPr>
            <w:r w:rsidDel="00000000" w:rsidR="00000000" w:rsidRPr="00000000">
              <w:rPr>
                <w:rtl w:val="0"/>
              </w:rPr>
              <w:t xml:space="preserve">Este proceso se realizó teniendo en cuenta la retroalimentación de la presidenta del jurado, Lucie Robert.</w:t>
            </w:r>
          </w:p>
          <w:p w:rsidR="00000000" w:rsidDel="00000000" w:rsidP="00000000" w:rsidRDefault="00000000" w:rsidRPr="00000000" w14:paraId="00000033">
            <w:pPr>
              <w:spacing w:before="4" w:line="241" w:lineRule="auto"/>
              <w:ind w:left="112" w:firstLine="0"/>
              <w:jc w:val="both"/>
              <w:rPr/>
            </w:pPr>
            <w:r w:rsidDel="00000000" w:rsidR="00000000" w:rsidRPr="00000000">
              <w:rPr>
                <w:rtl w:val="0"/>
              </w:rPr>
            </w:r>
          </w:p>
          <w:p w:rsidR="00000000" w:rsidDel="00000000" w:rsidP="00000000" w:rsidRDefault="00000000" w:rsidRPr="00000000" w14:paraId="00000034">
            <w:pPr>
              <w:spacing w:before="4" w:line="241" w:lineRule="auto"/>
              <w:ind w:left="112" w:firstLine="0"/>
              <w:jc w:val="both"/>
              <w:rPr/>
            </w:pPr>
            <w:r w:rsidDel="00000000" w:rsidR="00000000" w:rsidRPr="00000000">
              <w:rPr>
                <w:rtl w:val="0"/>
              </w:rPr>
              <w:t xml:space="preserve">Este documento se encuentra disponible para consulta en el siguiente enlace: </w:t>
            </w:r>
            <w:hyperlink r:id="rId8">
              <w:r w:rsidDel="00000000" w:rsidR="00000000" w:rsidRPr="00000000">
                <w:rPr>
                  <w:color w:val="0000ff"/>
                  <w:u w:val="single"/>
                  <w:rtl w:val="0"/>
                </w:rPr>
                <w:t xml:space="preserve">https://docs.google.com/document/d/1THOJOvEaz-hTGqDA1dlgzst3ZZXFMrU-lERvGP0243s/edit?tab=t.0</w:t>
              </w:r>
            </w:hyperlink>
            <w:r w:rsidDel="00000000" w:rsidR="00000000" w:rsidRPr="00000000">
              <w:rPr>
                <w:rtl w:val="0"/>
              </w:rPr>
              <w:t xml:space="preserve"> </w:t>
            </w:r>
          </w:p>
          <w:p w:rsidR="00000000" w:rsidDel="00000000" w:rsidP="00000000" w:rsidRDefault="00000000" w:rsidRPr="00000000" w14:paraId="00000035">
            <w:pPr>
              <w:spacing w:before="4" w:line="241" w:lineRule="auto"/>
              <w:ind w:left="112" w:firstLine="0"/>
              <w:jc w:val="both"/>
              <w:rPr/>
            </w:pPr>
            <w:r w:rsidDel="00000000" w:rsidR="00000000" w:rsidRPr="00000000">
              <w:rPr>
                <w:rtl w:val="0"/>
              </w:rPr>
            </w:r>
          </w:p>
          <w:p w:rsidR="00000000" w:rsidDel="00000000" w:rsidP="00000000" w:rsidRDefault="00000000" w:rsidRPr="00000000" w14:paraId="00000036">
            <w:pPr>
              <w:spacing w:before="4" w:line="241" w:lineRule="auto"/>
              <w:ind w:left="112" w:firstLine="0"/>
              <w:jc w:val="both"/>
              <w:rPr/>
            </w:pPr>
            <w:r w:rsidDel="00000000" w:rsidR="00000000" w:rsidRPr="00000000">
              <w:rPr>
                <w:rtl w:val="0"/>
              </w:rPr>
              <w:t xml:space="preserve">Se realizó acompañamiento al proceso de contratación de luthier gestionando las cotizaciones requeridas por parte del Teatro Mayor Julio Mario Santo Domingo, enviando informe detallado de precios y cantidades según requerimientos del Teatro y solicitando la contratación de luthier adicionales. </w:t>
            </w:r>
          </w:p>
          <w:p w:rsidR="00000000" w:rsidDel="00000000" w:rsidP="00000000" w:rsidRDefault="00000000" w:rsidRPr="00000000" w14:paraId="00000037">
            <w:pPr>
              <w:spacing w:before="4" w:line="241" w:lineRule="auto"/>
              <w:ind w:left="112" w:firstLine="0"/>
              <w:jc w:val="both"/>
              <w:rPr/>
            </w:pPr>
            <w:r w:rsidDel="00000000" w:rsidR="00000000" w:rsidRPr="00000000">
              <w:rPr>
                <w:rtl w:val="0"/>
              </w:rPr>
            </w:r>
          </w:p>
          <w:p w:rsidR="00000000" w:rsidDel="00000000" w:rsidP="00000000" w:rsidRDefault="00000000" w:rsidRPr="00000000" w14:paraId="00000038">
            <w:pPr>
              <w:spacing w:before="4" w:line="241" w:lineRule="auto"/>
              <w:ind w:left="112" w:firstLine="0"/>
              <w:jc w:val="both"/>
              <w:rPr/>
            </w:pPr>
            <w:r w:rsidDel="00000000" w:rsidR="00000000" w:rsidRPr="00000000">
              <w:rPr>
                <w:rtl w:val="0"/>
              </w:rPr>
              <w:t xml:space="preserve">Es importante mencionar que, tras la contratación de los 20 violines contemplada inicialmente, se proyecta un remanente de 45 millones de pesos. </w:t>
            </w:r>
          </w:p>
          <w:p w:rsidR="00000000" w:rsidDel="00000000" w:rsidP="00000000" w:rsidRDefault="00000000" w:rsidRPr="00000000" w14:paraId="00000039">
            <w:pPr>
              <w:spacing w:before="4" w:line="241" w:lineRule="auto"/>
              <w:ind w:left="112" w:firstLine="0"/>
              <w:jc w:val="both"/>
              <w:rPr/>
            </w:pPr>
            <w:r w:rsidDel="00000000" w:rsidR="00000000" w:rsidRPr="00000000">
              <w:rPr>
                <w:rtl w:val="0"/>
              </w:rPr>
            </w:r>
          </w:p>
          <w:p w:rsidR="00000000" w:rsidDel="00000000" w:rsidP="00000000" w:rsidRDefault="00000000" w:rsidRPr="00000000" w14:paraId="0000003A">
            <w:pPr>
              <w:spacing w:before="4" w:line="241" w:lineRule="auto"/>
              <w:ind w:left="112" w:firstLine="0"/>
              <w:jc w:val="both"/>
              <w:rPr>
                <w:color w:val="000000"/>
              </w:rPr>
            </w:pPr>
            <w:r w:rsidDel="00000000" w:rsidR="00000000" w:rsidRPr="00000000">
              <w:rPr>
                <w:rtl w:val="0"/>
              </w:rPr>
              <w:t xml:space="preserve">Con la intención de ejecutar la totalidad del presupuesto y buscando ampliar el alcance del proyecto, se solicitó en reunión de seguimiento del 9 de mayo la compra de 3 violines adicionales; estas modificaciones fueron aprobadas por las diferentes instancias. </w:t>
            </w:r>
            <w:r w:rsidDel="00000000" w:rsidR="00000000" w:rsidRPr="00000000">
              <w:rPr>
                <w:rtl w:val="0"/>
              </w:rPr>
            </w:r>
          </w:p>
        </w:tc>
      </w:tr>
    </w:tbl>
    <w:p w:rsidR="00000000" w:rsidDel="00000000" w:rsidP="00000000" w:rsidRDefault="00000000" w:rsidRPr="00000000" w14:paraId="0000003B">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2:</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 w:before="6" w:lineRule="auto"/>
        <w:rPr>
          <w:color w:val="000000"/>
        </w:rPr>
      </w:pPr>
      <w:r w:rsidDel="00000000" w:rsidR="00000000" w:rsidRPr="00000000">
        <w:rPr>
          <w:rtl w:val="0"/>
        </w:rPr>
      </w:r>
    </w:p>
    <w:tbl>
      <w:tblPr>
        <w:tblStyle w:val="Table4"/>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3"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bl>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bl>
      <w:tblPr>
        <w:tblStyle w:val="Table5"/>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367" w:hRule="atLeast"/>
          <w:tblHeader w:val="0"/>
        </w:trPr>
        <w:tc>
          <w:tcPr/>
          <w:p w:rsidR="00000000" w:rsidDel="00000000" w:rsidP="00000000" w:rsidRDefault="00000000" w:rsidRPr="00000000" w14:paraId="00000045">
            <w:pPr>
              <w:spacing w:before="3" w:line="229" w:lineRule="auto"/>
              <w:ind w:right="5"/>
              <w:jc w:val="both"/>
              <w:rPr>
                <w:color w:val="000000"/>
              </w:rPr>
            </w:pPr>
            <w:r w:rsidDel="00000000" w:rsidR="00000000" w:rsidRPr="00000000">
              <w:rPr>
                <w:rtl w:val="0"/>
              </w:rPr>
              <w:t xml:space="preserve">Disponer de los recursos humanos, técnicos, tecnológicos, operativos y logísticos, para el desarrollo de las actividades a su cargo, según lo que se indique en el Anexo Técnico del Convenio. </w:t>
            </w:r>
            <w:r w:rsidDel="00000000" w:rsidR="00000000" w:rsidRPr="00000000">
              <w:rPr>
                <w:rtl w:val="0"/>
              </w:rPr>
            </w:r>
          </w:p>
        </w:tc>
        <w:tc>
          <w:tcPr/>
          <w:p w:rsidR="00000000" w:rsidDel="00000000" w:rsidP="00000000" w:rsidRDefault="00000000" w:rsidRPr="00000000" w14:paraId="00000046">
            <w:pPr>
              <w:spacing w:before="4" w:line="241" w:lineRule="auto"/>
              <w:ind w:left="112" w:firstLine="0"/>
              <w:jc w:val="both"/>
              <w:rPr>
                <w:color w:val="000000"/>
              </w:rPr>
            </w:pPr>
            <w:r w:rsidDel="00000000" w:rsidR="00000000" w:rsidRPr="00000000">
              <w:rPr>
                <w:rtl w:val="0"/>
              </w:rPr>
              <w:t xml:space="preserve">Se proyectaron las obligaciones del equipo de validación y selección, conformado por validadores de video y jurados de selección. Esta proyección se encuentra disponible para consulta en el siguiente enlace </w:t>
            </w:r>
            <w:hyperlink r:id="rId9">
              <w:r w:rsidDel="00000000" w:rsidR="00000000" w:rsidRPr="00000000">
                <w:rPr>
                  <w:color w:val="0000ff"/>
                  <w:u w:val="single"/>
                  <w:rtl w:val="0"/>
                </w:rPr>
                <w:t xml:space="preserve">https://docs.google.com/spreadsheets/d/1wEunqj4a0fhwfya6mk3RNFL7MQ1uu0bvKnp-sJ5F5EE/edit?gid=0#gid=0</w:t>
              </w:r>
            </w:hyperlink>
            <w:r w:rsidDel="00000000" w:rsidR="00000000" w:rsidRPr="00000000">
              <w:rPr>
                <w:rtl w:val="0"/>
              </w:rPr>
              <w:t xml:space="preserve">. </w:t>
            </w:r>
            <w:r w:rsidDel="00000000" w:rsidR="00000000" w:rsidRPr="00000000">
              <w:rPr>
                <w:rtl w:val="0"/>
              </w:rPr>
            </w:r>
          </w:p>
        </w:tc>
      </w:tr>
    </w:tbl>
    <w:p w:rsidR="00000000" w:rsidDel="00000000" w:rsidP="00000000" w:rsidRDefault="00000000" w:rsidRPr="00000000" w14:paraId="00000047">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3:</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 w:before="3" w:lineRule="auto"/>
        <w:rPr>
          <w:color w:val="000000"/>
        </w:rPr>
      </w:pPr>
      <w:r w:rsidDel="00000000" w:rsidR="00000000" w:rsidRPr="00000000">
        <w:rPr>
          <w:rtl w:val="0"/>
        </w:rPr>
      </w:r>
    </w:p>
    <w:tbl>
      <w:tblPr>
        <w:tblStyle w:val="Table6"/>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6309" w:hRule="atLeast"/>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29" w:lineRule="auto"/>
              <w:ind w:right="4"/>
              <w:jc w:val="both"/>
              <w:rPr>
                <w:color w:val="000000"/>
              </w:rPr>
            </w:pPr>
            <w:r w:rsidDel="00000000" w:rsidR="00000000" w:rsidRPr="00000000">
              <w:rPr>
                <w:rtl w:val="0"/>
              </w:rPr>
              <w:t xml:space="preserve">Adelantar las actividades necesarias para contar con el recurso humano idóneo, capacitado y pertinente que realizará la Coordinación de Producción y que debe ser Aprobado por el Comité técnico </w:t>
            </w:r>
            <w:r w:rsidDel="00000000" w:rsidR="00000000" w:rsidRPr="00000000">
              <w:rPr>
                <w:rtl w:val="0"/>
              </w:rPr>
            </w:r>
          </w:p>
        </w:tc>
        <w:tc>
          <w:tcPr/>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La coordinación de producción se ha desarrollado de manera satisfactoria, permitiendo el cumplimiento oportuno del cronograma establecido en el convenio, conforme a las directrices y aprobaciones del Comité Técnico. Entre los avances más relevantes del mes del presente reporte se destacan:</w:t>
            </w:r>
          </w:p>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4F">
            <w:pPr>
              <w:widowControl w:val="1"/>
              <w:numPr>
                <w:ilvl w:val="0"/>
                <w:numId w:val="3"/>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Elaboración del diagrama de procesos, incluyendo automatización del cronograma y asignación de roles.</w:t>
            </w:r>
          </w:p>
          <w:p w:rsidR="00000000" w:rsidDel="00000000" w:rsidP="00000000" w:rsidRDefault="00000000" w:rsidRPr="00000000" w14:paraId="00000050">
            <w:pPr>
              <w:widowControl w:val="1"/>
              <w:numPr>
                <w:ilvl w:val="0"/>
                <w:numId w:val="3"/>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Planeación logística de traslados aéreos y alojamiento, en articulación con el equipo del Teatro Mayor Julio Mario Santo Domingo, lo que permitió la creación del formulario de recolección de datos para jurados e invitados especiales</w:t>
            </w:r>
            <w:r w:rsidDel="00000000" w:rsidR="00000000" w:rsidRPr="00000000">
              <w:rPr>
                <w:rtl w:val="0"/>
              </w:rPr>
              <w:t xml:space="preserve">, el cual está disponible en:</w:t>
            </w:r>
            <w:r w:rsidDel="00000000" w:rsidR="00000000" w:rsidRPr="00000000">
              <w:rPr>
                <w:color w:val="000000"/>
                <w:rtl w:val="0"/>
              </w:rPr>
              <w:t xml:space="preserve"> </w:t>
              <w:br w:type="textWrapping"/>
            </w:r>
            <w:hyperlink r:id="rId10">
              <w:r w:rsidDel="00000000" w:rsidR="00000000" w:rsidRPr="00000000">
                <w:rPr>
                  <w:color w:val="0000ff"/>
                  <w:u w:val="single"/>
                  <w:rtl w:val="0"/>
                </w:rPr>
                <w:t xml:space="preserve">https://docs.google.com/forms/d/e/1FAIpQLSd-fpp0LIR_KQ5SHkcBL2FcZPWKAQ4KDgFOW_YaN3reV1UeLw/viewform</w:t>
              </w:r>
            </w:hyperlink>
            <w:r w:rsidDel="00000000" w:rsidR="00000000" w:rsidRPr="00000000">
              <w:rPr>
                <w:color w:val="000000"/>
                <w:rtl w:val="0"/>
              </w:rPr>
              <w:t xml:space="preserve"> </w:t>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ind w:left="720" w:firstLine="0"/>
              <w:rPr/>
            </w:pPr>
            <w:r w:rsidDel="00000000" w:rsidR="00000000" w:rsidRPr="00000000">
              <w:rPr>
                <w:rtl w:val="0"/>
              </w:rPr>
              <w:t xml:space="preserve">La matriz de información recolectada se puede visualizar en: </w:t>
            </w:r>
            <w:hyperlink r:id="rId11">
              <w:r w:rsidDel="00000000" w:rsidR="00000000" w:rsidRPr="00000000">
                <w:rPr>
                  <w:color w:val="1155cc"/>
                  <w:u w:val="single"/>
                  <w:rtl w:val="0"/>
                </w:rPr>
                <w:t xml:space="preserve">https://docs.google.com/spreadsheets/d/1nc2pEnobA92iyNxqPSnpDHNr5BNHikL4/edit?usp=drive_link&amp;ouid=103450912699124565243&amp;rtpof=true&amp;sd=true</w:t>
              </w:r>
            </w:hyperlink>
            <w:r w:rsidDel="00000000" w:rsidR="00000000" w:rsidRPr="00000000">
              <w:rPr>
                <w:rtl w:val="0"/>
              </w:rPr>
              <w:t xml:space="preserve"> </w:t>
            </w:r>
          </w:p>
        </w:tc>
      </w:tr>
    </w:tbl>
    <w:p w:rsidR="00000000" w:rsidDel="00000000" w:rsidP="00000000" w:rsidRDefault="00000000" w:rsidRPr="00000000" w14:paraId="00000052">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4:</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before="7" w:lineRule="auto"/>
        <w:rPr>
          <w:color w:val="000000"/>
        </w:rPr>
      </w:pPr>
      <w:r w:rsidDel="00000000" w:rsidR="00000000" w:rsidRPr="00000000">
        <w:rPr>
          <w:rtl w:val="0"/>
        </w:rPr>
      </w:r>
    </w:p>
    <w:tbl>
      <w:tblPr>
        <w:tblStyle w:val="Table7"/>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3" w:hRule="atLeast"/>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885" w:hRule="atLeast"/>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Participar en el comité técnico y acoger las recomendaciones que se impartan en tal instancia.</w:t>
            </w:r>
            <w:r w:rsidDel="00000000" w:rsidR="00000000" w:rsidRPr="00000000">
              <w:rPr>
                <w:rtl w:val="0"/>
              </w:rPr>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ind w:left="112" w:right="83" w:firstLine="0"/>
              <w:jc w:val="both"/>
              <w:rPr/>
            </w:pPr>
            <w:r w:rsidDel="00000000" w:rsidR="00000000" w:rsidRPr="00000000">
              <w:rPr>
                <w:rtl w:val="0"/>
              </w:rPr>
              <w:t xml:space="preserve">Al 31 de mayo de 2025 se han realizado 4 comités técnicos operativos de la siguiente forma:</w:t>
            </w:r>
          </w:p>
          <w:p w:rsidR="00000000" w:rsidDel="00000000" w:rsidP="00000000" w:rsidRDefault="00000000" w:rsidRPr="00000000" w14:paraId="0000005A">
            <w:pPr>
              <w:numPr>
                <w:ilvl w:val="0"/>
                <w:numId w:val="4"/>
              </w:numPr>
              <w:pBdr>
                <w:top w:space="0" w:sz="0" w:val="nil"/>
                <w:left w:space="0" w:sz="0" w:val="nil"/>
                <w:bottom w:space="0" w:sz="0" w:val="nil"/>
                <w:right w:space="0" w:sz="0" w:val="nil"/>
                <w:between w:space="0" w:sz="0" w:val="nil"/>
              </w:pBdr>
              <w:ind w:left="430" w:right="83" w:hanging="360"/>
              <w:jc w:val="both"/>
              <w:rPr/>
            </w:pPr>
            <w:r w:rsidDel="00000000" w:rsidR="00000000" w:rsidRPr="00000000">
              <w:rPr>
                <w:color w:val="000000"/>
                <w:rtl w:val="0"/>
              </w:rPr>
              <w:t xml:space="preserve">1er comité técnico operativo el 06-12-2024 con radicado en Orfeo N° 20251000272083.</w:t>
            </w:r>
            <w:r w:rsidDel="00000000" w:rsidR="00000000" w:rsidRPr="00000000">
              <w:rPr>
                <w:rtl w:val="0"/>
              </w:rPr>
            </w:r>
          </w:p>
          <w:p w:rsidR="00000000" w:rsidDel="00000000" w:rsidP="00000000" w:rsidRDefault="00000000" w:rsidRPr="00000000" w14:paraId="0000005B">
            <w:pPr>
              <w:numPr>
                <w:ilvl w:val="0"/>
                <w:numId w:val="4"/>
              </w:numPr>
              <w:pBdr>
                <w:top w:space="0" w:sz="0" w:val="nil"/>
                <w:left w:space="0" w:sz="0" w:val="nil"/>
                <w:bottom w:space="0" w:sz="0" w:val="nil"/>
                <w:right w:space="0" w:sz="0" w:val="nil"/>
                <w:between w:space="0" w:sz="0" w:val="nil"/>
              </w:pBdr>
              <w:ind w:left="430" w:right="83" w:hanging="360"/>
              <w:jc w:val="both"/>
              <w:rPr/>
            </w:pPr>
            <w:r w:rsidDel="00000000" w:rsidR="00000000" w:rsidRPr="00000000">
              <w:rPr>
                <w:color w:val="000000"/>
                <w:rtl w:val="0"/>
              </w:rPr>
              <w:t xml:space="preserve">2do comité técnico operativo el 22-01-2025 con radicado en Orfeo N° 20251000230393.</w:t>
            </w:r>
            <w:r w:rsidDel="00000000" w:rsidR="00000000" w:rsidRPr="00000000">
              <w:rPr>
                <w:rtl w:val="0"/>
              </w:rPr>
            </w:r>
          </w:p>
          <w:p w:rsidR="00000000" w:rsidDel="00000000" w:rsidP="00000000" w:rsidRDefault="00000000" w:rsidRPr="00000000" w14:paraId="0000005C">
            <w:pPr>
              <w:numPr>
                <w:ilvl w:val="0"/>
                <w:numId w:val="4"/>
              </w:numPr>
              <w:pBdr>
                <w:top w:space="0" w:sz="0" w:val="nil"/>
                <w:left w:space="0" w:sz="0" w:val="nil"/>
                <w:bottom w:space="0" w:sz="0" w:val="nil"/>
                <w:right w:space="0" w:sz="0" w:val="nil"/>
                <w:between w:space="0" w:sz="0" w:val="nil"/>
              </w:pBdr>
              <w:ind w:left="430" w:right="83" w:hanging="360"/>
              <w:jc w:val="both"/>
              <w:rPr/>
            </w:pPr>
            <w:r w:rsidDel="00000000" w:rsidR="00000000" w:rsidRPr="00000000">
              <w:rPr>
                <w:color w:val="000000"/>
                <w:rtl w:val="0"/>
              </w:rPr>
              <w:t xml:space="preserve">3er comité técnico operativo el 19-03-2025 con radicado en Orfeo N° 20251000230453.</w:t>
            </w:r>
            <w:r w:rsidDel="00000000" w:rsidR="00000000" w:rsidRPr="00000000">
              <w:rPr>
                <w:rtl w:val="0"/>
              </w:rPr>
            </w:r>
          </w:p>
          <w:p w:rsidR="00000000" w:rsidDel="00000000" w:rsidP="00000000" w:rsidRDefault="00000000" w:rsidRPr="00000000" w14:paraId="0000005D">
            <w:pPr>
              <w:numPr>
                <w:ilvl w:val="0"/>
                <w:numId w:val="4"/>
              </w:numPr>
              <w:pBdr>
                <w:top w:space="0" w:sz="0" w:val="nil"/>
                <w:left w:space="0" w:sz="0" w:val="nil"/>
                <w:bottom w:space="0" w:sz="0" w:val="nil"/>
                <w:right w:space="0" w:sz="0" w:val="nil"/>
                <w:between w:space="0" w:sz="0" w:val="nil"/>
              </w:pBdr>
              <w:ind w:left="430" w:right="83" w:hanging="360"/>
              <w:jc w:val="both"/>
              <w:rPr/>
            </w:pPr>
            <w:r w:rsidDel="00000000" w:rsidR="00000000" w:rsidRPr="00000000">
              <w:rPr>
                <w:color w:val="000000"/>
                <w:rtl w:val="0"/>
              </w:rPr>
              <w:t xml:space="preserve">4to comité técnico operativo el 28-03-2025 con radicado en Orfeo N° 20251000230533.</w:t>
            </w: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ind w:left="430" w:right="83" w:firstLine="0"/>
              <w:jc w:val="both"/>
              <w:rPr>
                <w:color w:val="00000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ind w:right="83"/>
              <w:jc w:val="both"/>
              <w:rPr/>
            </w:pPr>
            <w:r w:rsidDel="00000000" w:rsidR="00000000" w:rsidRPr="00000000">
              <w:rPr>
                <w:rtl w:val="0"/>
              </w:rPr>
              <w:t xml:space="preserve">Se ha participado articuladamente entre las dos entidades en las sesiones del comité técnico convocadas hasta la fecha, cumpliendo con su compromiso de asistencia y disposición técnica. </w:t>
            </w:r>
          </w:p>
          <w:p w:rsidR="00000000" w:rsidDel="00000000" w:rsidP="00000000" w:rsidRDefault="00000000" w:rsidRPr="00000000" w14:paraId="00000060">
            <w:pPr>
              <w:pBdr>
                <w:top w:space="0" w:sz="0" w:val="nil"/>
                <w:left w:space="0" w:sz="0" w:val="nil"/>
                <w:bottom w:space="0" w:sz="0" w:val="nil"/>
                <w:right w:space="0" w:sz="0" w:val="nil"/>
                <w:between w:space="0" w:sz="0" w:val="nil"/>
              </w:pBdr>
              <w:ind w:right="83"/>
              <w:jc w:val="both"/>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ind w:right="83"/>
              <w:jc w:val="both"/>
              <w:rPr>
                <w:color w:val="000000"/>
              </w:rPr>
            </w:pPr>
            <w:r w:rsidDel="00000000" w:rsidR="00000000" w:rsidRPr="00000000">
              <w:rPr>
                <w:rtl w:val="0"/>
              </w:rPr>
              <w:t xml:space="preserve">Durante estas reuniones, se ha acogido y puesto en marcha las recomendaciones formuladas por dicha instancia, lo cual se evidencia en los productos generados a la fecha tales como presupuesto, inscripciones, comunicaciones oficiales, divulgación nacional e internacional.</w:t>
            </w:r>
            <w:r w:rsidDel="00000000" w:rsidR="00000000" w:rsidRPr="00000000">
              <w:rPr>
                <w:rtl w:val="0"/>
              </w:rPr>
            </w:r>
          </w:p>
        </w:tc>
      </w:tr>
    </w:tbl>
    <w:p w:rsidR="00000000" w:rsidDel="00000000" w:rsidP="00000000" w:rsidRDefault="00000000" w:rsidRPr="00000000" w14:paraId="00000062">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5:</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8"/>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367" w:hRule="atLeast"/>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Ejecutar las actividades propuestas en el plan de trabajo aprobado en el comité técnico, de acuerdo con su participación y competencias en el convenio.</w:t>
            </w:r>
            <w:r w:rsidDel="00000000" w:rsidR="00000000" w:rsidRPr="00000000">
              <w:rPr>
                <w:rtl w:val="0"/>
              </w:rPr>
            </w:r>
          </w:p>
        </w:tc>
        <w:tc>
          <w:tcPr/>
          <w:p w:rsidR="00000000" w:rsidDel="00000000" w:rsidP="00000000" w:rsidRDefault="00000000" w:rsidRPr="00000000" w14:paraId="00000068">
            <w:pPr>
              <w:spacing w:before="4" w:line="241" w:lineRule="auto"/>
              <w:ind w:left="112" w:firstLine="0"/>
              <w:jc w:val="both"/>
              <w:rPr/>
            </w:pPr>
            <w:r w:rsidDel="00000000" w:rsidR="00000000" w:rsidRPr="00000000">
              <w:rPr>
                <w:rtl w:val="0"/>
              </w:rPr>
              <w:t xml:space="preserve">Durante el periodo reportado, se han adelantado las gestiones necesarias para asegurar el adecuado desarrollo del convenio. Entre ellas, se destaca el apoyo administrativo brindado por la SCRD y el cumplimiento progresivo de los compromisos establecidos en los comités técnicos. Estas acciones han contribuido a una implementación articulada y oportuna. En el siguiente enlace se encuentran todas las actas de comités técnicos operativos realizadas en el periodo de informe, así como los documentos administrativos del convenio en general:</w:t>
            </w:r>
          </w:p>
          <w:p w:rsidR="00000000" w:rsidDel="00000000" w:rsidP="00000000" w:rsidRDefault="00000000" w:rsidRPr="00000000" w14:paraId="00000069">
            <w:pPr>
              <w:spacing w:before="4" w:line="241" w:lineRule="auto"/>
              <w:ind w:left="112" w:firstLine="0"/>
              <w:jc w:val="both"/>
              <w:rPr>
                <w:color w:val="000000"/>
              </w:rPr>
            </w:pPr>
            <w:hyperlink r:id="rId12">
              <w:r w:rsidDel="00000000" w:rsidR="00000000" w:rsidRPr="00000000">
                <w:rPr>
                  <w:color w:val="0000ff"/>
                  <w:u w:val="single"/>
                  <w:rtl w:val="0"/>
                </w:rPr>
                <w:t xml:space="preserve">https://drive.google.com/drive/u/0/folders/1o79La_5ueuyGgdW5uVHy6R0wI-SeHiuQ</w:t>
              </w:r>
            </w:hyperlink>
            <w:r w:rsidDel="00000000" w:rsidR="00000000" w:rsidRPr="00000000">
              <w:rPr>
                <w:rtl w:val="0"/>
              </w:rPr>
              <w:t xml:space="preserve"> </w:t>
            </w:r>
            <w:r w:rsidDel="00000000" w:rsidR="00000000" w:rsidRPr="00000000">
              <w:rPr>
                <w:rtl w:val="0"/>
              </w:rPr>
            </w:r>
          </w:p>
        </w:tc>
      </w:tr>
    </w:tbl>
    <w:p w:rsidR="00000000" w:rsidDel="00000000" w:rsidP="00000000" w:rsidRDefault="00000000" w:rsidRPr="00000000" w14:paraId="0000006A">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ind w:left="264" w:firstLine="0"/>
        <w:rPr/>
      </w:pPr>
      <w:r w:rsidDel="00000000" w:rsidR="00000000" w:rsidRPr="00000000">
        <w:rPr>
          <w:color w:val="000000"/>
          <w:rtl w:val="0"/>
        </w:rPr>
        <w:t xml:space="preserve">OBLIGACIÓN No. 6:</w:t>
      </w: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ind w:left="264" w:firstLine="0"/>
        <w:rPr/>
      </w:pPr>
      <w:r w:rsidDel="00000000" w:rsidR="00000000" w:rsidRPr="00000000">
        <w:rPr>
          <w:rtl w:val="0"/>
        </w:rPr>
      </w:r>
    </w:p>
    <w:tbl>
      <w:tblPr>
        <w:tblStyle w:val="Table9"/>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560" w:hRule="atLeast"/>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Elaborar el presupuesto del proyecto y un cronograma de actividades, los cuales deben ser concertados con el supervisor del convenio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52.00000000000003" w:lineRule="auto"/>
              <w:ind w:left="112" w:right="83" w:firstLine="0"/>
              <w:jc w:val="both"/>
              <w:rPr/>
            </w:pPr>
            <w:r w:rsidDel="00000000" w:rsidR="00000000" w:rsidRPr="00000000">
              <w:rPr>
                <w:rtl w:val="0"/>
              </w:rPr>
              <w:t xml:space="preserve">Durante el periodo reportado, se brindó apoyo a la actualización periódica del presupuesto general del Concurso, incluyendo la revisión y consolidación de los aportes de entidades aliadas, en articulación con los equipos de la Asociación Nacional de Música Sinfónica (ANMS). El presupuesto actualizado como soporte se encuentra en la plataforma Orfeo con radicado 20257100125062.</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52.00000000000003" w:lineRule="auto"/>
              <w:ind w:left="112" w:right="83" w:firstLine="0"/>
              <w:jc w:val="both"/>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52.00000000000003" w:lineRule="auto"/>
              <w:ind w:left="112" w:right="83" w:firstLine="0"/>
              <w:jc w:val="both"/>
              <w:rPr>
                <w:color w:val="000000"/>
              </w:rPr>
            </w:pPr>
            <w:r w:rsidDel="00000000" w:rsidR="00000000" w:rsidRPr="00000000">
              <w:rPr>
                <w:rtl w:val="0"/>
              </w:rPr>
              <w:t xml:space="preserve">Asimismo, se avanzó en los procesos administrativos y financieros requeridos, entre ellos la solicitud de adhesión y adición de la OFB al Convenio 768-2024, y la gestión para la incorporación formal de sus aportes al presupuesto del Concurso. Este proceso se encuentra alojado en la plataforma Orfeo bajo el radicado 20257600270523.</w:t>
            </w:r>
            <w:r w:rsidDel="00000000" w:rsidR="00000000" w:rsidRPr="00000000">
              <w:rPr>
                <w:rtl w:val="0"/>
              </w:rPr>
            </w:r>
          </w:p>
        </w:tc>
      </w:tr>
    </w:tbl>
    <w:p w:rsidR="00000000" w:rsidDel="00000000" w:rsidP="00000000" w:rsidRDefault="00000000" w:rsidRPr="00000000" w14:paraId="00000073">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7:</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10"/>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012" w:hRule="atLeast"/>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Elaborar informes de ejecución mensual con el fin de informar a la contraparte sobre uso de recursos, informar sobre los inscritos y seleccionados al concurso, además del trabajo con eventuales patrocinadores.</w:t>
            </w:r>
            <w:r w:rsidDel="00000000" w:rsidR="00000000" w:rsidRPr="00000000">
              <w:rPr>
                <w:rtl w:val="0"/>
              </w:rPr>
            </w:r>
          </w:p>
        </w:tc>
        <w:tc>
          <w:tcPr/>
          <w:p w:rsidR="00000000" w:rsidDel="00000000" w:rsidP="00000000" w:rsidRDefault="00000000" w:rsidRPr="00000000" w14:paraId="00000079">
            <w:pPr>
              <w:spacing w:before="4" w:line="241" w:lineRule="auto"/>
              <w:ind w:left="112" w:firstLine="0"/>
              <w:jc w:val="both"/>
              <w:rPr/>
            </w:pPr>
            <w:r w:rsidDel="00000000" w:rsidR="00000000" w:rsidRPr="00000000">
              <w:rPr>
                <w:rtl w:val="0"/>
              </w:rPr>
              <w:t xml:space="preserve">A la fecha se han realizado cuatro (4) informes de ejecución financiera correspondientes a los meses de febrero, marzo, abril y mayo, informando la ejecución del convenio. Radicados por la ANMS en correspondencia externa de la SCRD y alojados en el expediente No. 202576002100100007E.</w:t>
            </w:r>
          </w:p>
          <w:p w:rsidR="00000000" w:rsidDel="00000000" w:rsidP="00000000" w:rsidRDefault="00000000" w:rsidRPr="00000000" w14:paraId="0000007A">
            <w:pPr>
              <w:spacing w:before="4" w:line="241" w:lineRule="auto"/>
              <w:ind w:left="112" w:firstLine="0"/>
              <w:jc w:val="both"/>
              <w:rPr/>
            </w:pPr>
            <w:r w:rsidDel="00000000" w:rsidR="00000000" w:rsidRPr="00000000">
              <w:rPr>
                <w:rtl w:val="0"/>
              </w:rPr>
            </w:r>
          </w:p>
          <w:p w:rsidR="00000000" w:rsidDel="00000000" w:rsidP="00000000" w:rsidRDefault="00000000" w:rsidRPr="00000000" w14:paraId="0000007B">
            <w:pPr>
              <w:spacing w:before="4" w:line="241" w:lineRule="auto"/>
              <w:ind w:left="112" w:firstLine="0"/>
              <w:jc w:val="both"/>
              <w:rPr/>
            </w:pPr>
            <w:r w:rsidDel="00000000" w:rsidR="00000000" w:rsidRPr="00000000">
              <w:rPr>
                <w:rtl w:val="0"/>
              </w:rPr>
              <w:t xml:space="preserve">En relación con la articulación con la Fundación Bolívar Davivienda, se socializa el documento de condiciones de participación y el formulario de inscripción a las clases magistrales con la dirección ejecutiva de la Filarmónica Jóven de Colombia. Las observaciones recibidas fueron incorporadas en los documentos mencionados. Como parte de esta articulación, la Fundación Bolívar Davivienda reitera su interés en otorgar tiquetes a 10 violinistas provenientes de fuera de Bogotá para su desplazamiento hacia las clases magistrales; previo cumplimiento de los requisitos establecidos por el Concurso, la Fundación Bolívar Davivienda propone un memorando de entendimiento.</w:t>
            </w:r>
          </w:p>
          <w:p w:rsidR="00000000" w:rsidDel="00000000" w:rsidP="00000000" w:rsidRDefault="00000000" w:rsidRPr="00000000" w14:paraId="0000007C">
            <w:pPr>
              <w:spacing w:before="4" w:line="241" w:lineRule="auto"/>
              <w:ind w:left="112" w:firstLine="0"/>
              <w:jc w:val="both"/>
              <w:rPr/>
            </w:pPr>
            <w:r w:rsidDel="00000000" w:rsidR="00000000" w:rsidRPr="00000000">
              <w:rPr>
                <w:rtl w:val="0"/>
              </w:rPr>
            </w:r>
          </w:p>
          <w:p w:rsidR="00000000" w:rsidDel="00000000" w:rsidP="00000000" w:rsidRDefault="00000000" w:rsidRPr="00000000" w14:paraId="0000007D">
            <w:pPr>
              <w:spacing w:before="4" w:line="241" w:lineRule="auto"/>
              <w:ind w:left="112" w:firstLine="0"/>
              <w:jc w:val="both"/>
              <w:rPr/>
            </w:pPr>
            <w:r w:rsidDel="00000000" w:rsidR="00000000" w:rsidRPr="00000000">
              <w:rPr>
                <w:rtl w:val="0"/>
              </w:rPr>
              <w:t xml:space="preserve">En relación con la Fundación Ramírez Moreno: se acompañó el proceso de contratación de los violines que serán entregados en el marco de las clases magistrales, este proceso de donación recae en el Teatro Mayor Julio Mario Santodomingo, aliado del Concurso Internacional de Violín, ya que son ellos los responsables de este proceso.</w:t>
            </w:r>
          </w:p>
        </w:tc>
      </w:tr>
    </w:tbl>
    <w:p w:rsidR="00000000" w:rsidDel="00000000" w:rsidP="00000000" w:rsidRDefault="00000000" w:rsidRPr="00000000" w14:paraId="0000007E">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8:</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 w:before="6" w:lineRule="auto"/>
        <w:rPr>
          <w:color w:val="000000"/>
        </w:rPr>
      </w:pPr>
      <w:r w:rsidDel="00000000" w:rsidR="00000000" w:rsidRPr="00000000">
        <w:rPr>
          <w:rtl w:val="0"/>
        </w:rPr>
      </w:r>
    </w:p>
    <w:tbl>
      <w:tblPr>
        <w:tblStyle w:val="Table11"/>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3" w:hRule="atLeast"/>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1518" w:hRule="atLeast"/>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Diseñar y ejecutar la convocatoria internacional, de acuerdo a las pautas definidas en el anexo técnico, dando respuesta a aspirantes y demás interesados. El diseño de la convocatoria se concertará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Se realizó seguimiento a las consultas de posibles candidatos, dando respuesta oportuna a los mensajes dirigidos al correo electrónico oficial del Concurso. </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Durante el periodo del informe se atendieron 44 solicitudes de información al correo electrónico del concurso, relacionadas con aspectos del proceso de inscripción como repertorio, límite de edad, requisitos técnicos de vídeo, conformación del jurado, entre otras. Todas las solicitudes fueron atendidas de manera oportuna. Se puede verificar el seguimiento de este proceso en la siguiente tabla: </w:t>
            </w:r>
            <w:hyperlink r:id="rId13">
              <w:r w:rsidDel="00000000" w:rsidR="00000000" w:rsidRPr="00000000">
                <w:rPr>
                  <w:color w:val="0000ff"/>
                  <w:u w:val="single"/>
                  <w:rtl w:val="0"/>
                </w:rPr>
                <w:t xml:space="preserve">https://docs.google.com/spreadsheets/d/1ESujooKtngiB9DcPSLsGccR3kKL1HiLkCcnJ9gHmaSU/edit?gid=0#gid=0</w:t>
              </w:r>
            </w:hyperlink>
            <w:r w:rsidDel="00000000" w:rsidR="00000000" w:rsidRPr="00000000">
              <w:rPr>
                <w:rtl w:val="0"/>
              </w:rPr>
              <w:t xml:space="preserve"> </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before="3" w:line="241" w:lineRule="auto"/>
              <w:ind w:left="112" w:firstLine="0"/>
              <w:jc w:val="both"/>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Con la intención de incrementar el número de inscripciones se realizó, de manera articulada con la AOC, el envío de una tercera comunicación a todos los violinistas que fueron identificados en el ejercicio de mapeo de participantes en concursos internacionales.</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En este sentido se redactó el mensaje para este envío haciendo especial énfasis en la conformación del jurado. Como resultado de este proceso se envió la información de manera directa a 228 violinistas, participantes y/o finalistas en 25 concursos internacionales de gran prestigio. </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8B">
            <w:pPr>
              <w:spacing w:before="3" w:line="241" w:lineRule="auto"/>
              <w:jc w:val="both"/>
              <w:rPr/>
            </w:pPr>
            <w:r w:rsidDel="00000000" w:rsidR="00000000" w:rsidRPr="00000000">
              <w:rPr>
                <w:rtl w:val="0"/>
              </w:rPr>
              <w:t xml:space="preserve">Como resultado final, con corte al 31 de mayo, se cerró el proceso de inscripción con un total de 122 inscritos de diferentes partes del mundo:</w:t>
            </w:r>
          </w:p>
          <w:p w:rsidR="00000000" w:rsidDel="00000000" w:rsidP="00000000" w:rsidRDefault="00000000" w:rsidRPr="00000000" w14:paraId="0000008C">
            <w:pPr>
              <w:spacing w:before="3" w:line="241" w:lineRule="auto"/>
              <w:jc w:val="both"/>
              <w:rPr/>
            </w:pPr>
            <w:hyperlink r:id="rId14">
              <w:r w:rsidDel="00000000" w:rsidR="00000000" w:rsidRPr="00000000">
                <w:rPr>
                  <w:color w:val="1155cc"/>
                  <w:u w:val="single"/>
                  <w:rtl w:val="0"/>
                </w:rPr>
                <w:t xml:space="preserve">https://drive.google.com/file/d/1QIF_e2f_Ms2pxldpsW756_RXJnnuGvTM/view?usp=drive_link</w:t>
              </w:r>
            </w:hyperlink>
            <w:r w:rsidDel="00000000" w:rsidR="00000000" w:rsidRPr="00000000">
              <w:rPr>
                <w:rtl w:val="0"/>
              </w:rPr>
              <w:t xml:space="preserve"> </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before="3" w:line="241" w:lineRule="auto"/>
              <w:ind w:left="112" w:firstLine="0"/>
              <w:jc w:val="both"/>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Adicionalmente, se creó el reporte interactivo de inscripciones, como insumo para la visualización de información de los inscritos, como: nacionalidad, edad, cómo se enteró del Concurso. Este reporte se encuentra disponible para consulta en el siguiente enlace:</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before="3" w:line="241" w:lineRule="auto"/>
              <w:ind w:left="112" w:firstLine="0"/>
              <w:jc w:val="both"/>
              <w:rPr/>
            </w:pPr>
            <w:hyperlink r:id="rId15">
              <w:r w:rsidDel="00000000" w:rsidR="00000000" w:rsidRPr="00000000">
                <w:rPr>
                  <w:color w:val="0000ff"/>
                  <w:u w:val="single"/>
                  <w:rtl w:val="0"/>
                </w:rPr>
                <w:t xml:space="preserve">https://lookerstudio.google.com/u/0/reporting/5c37ab4c-edbf-44bc-aa67-3dc14c297c47/page/p_lerut4l3sd/edit</w:t>
              </w:r>
            </w:hyperlink>
            <w:r w:rsidDel="00000000" w:rsidR="00000000" w:rsidRPr="00000000">
              <w:rPr>
                <w:rtl w:val="0"/>
              </w:rPr>
              <w:t xml:space="preserve"> </w:t>
            </w:r>
          </w:p>
        </w:tc>
      </w:tr>
    </w:tbl>
    <w:p w:rsidR="00000000" w:rsidDel="00000000" w:rsidP="00000000" w:rsidRDefault="00000000" w:rsidRPr="00000000" w14:paraId="00000090">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9:</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12"/>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362" w:hRule="atLeast"/>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Realizar la entrega de los premios a los ganadores del concurso de acuerdo a las especificaciones determinadas en el anexo técnico, según lineamientos que establezca la SCRD.</w:t>
            </w:r>
            <w:r w:rsidDel="00000000" w:rsidR="00000000" w:rsidRPr="00000000">
              <w:rPr>
                <w:rtl w:val="0"/>
              </w:rPr>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ind w:left="112" w:right="85" w:firstLine="0"/>
              <w:jc w:val="both"/>
              <w:rPr>
                <w:color w:val="000000"/>
              </w:rPr>
            </w:pPr>
            <w:r w:rsidDel="00000000" w:rsidR="00000000" w:rsidRPr="00000000">
              <w:rPr>
                <w:color w:val="000000"/>
                <w:rtl w:val="0"/>
              </w:rPr>
              <w:t xml:space="preserve">Para el cumplimiento de esta obligación se requiere que el concurso haya tenido lugar. Se aprueba una tasa techo en dólares para tener la provisión de premios lista para ese entonces. </w:t>
            </w:r>
          </w:p>
          <w:p w:rsidR="00000000" w:rsidDel="00000000" w:rsidP="00000000" w:rsidRDefault="00000000" w:rsidRPr="00000000" w14:paraId="00000097">
            <w:pPr>
              <w:pBdr>
                <w:top w:space="0" w:sz="0" w:val="nil"/>
                <w:left w:space="0" w:sz="0" w:val="nil"/>
                <w:bottom w:space="0" w:sz="0" w:val="nil"/>
                <w:right w:space="0" w:sz="0" w:val="nil"/>
                <w:between w:space="0" w:sz="0" w:val="nil"/>
              </w:pBdr>
              <w:ind w:left="112" w:right="85" w:firstLine="0"/>
              <w:jc w:val="both"/>
              <w:rPr>
                <w:color w:val="000000"/>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ind w:left="112" w:right="85" w:firstLine="0"/>
              <w:jc w:val="both"/>
              <w:rPr>
                <w:color w:val="000000"/>
              </w:rPr>
            </w:pPr>
            <w:r w:rsidDel="00000000" w:rsidR="00000000" w:rsidRPr="00000000">
              <w:rPr>
                <w:color w:val="000000"/>
                <w:rtl w:val="0"/>
              </w:rPr>
              <w:t xml:space="preserve">Los premios en efectivo se entregarán en el mes de noviembre, de acuerdo al plan de trabajo del presente convenio. </w:t>
            </w:r>
          </w:p>
        </w:tc>
      </w:tr>
    </w:tbl>
    <w:p w:rsidR="00000000" w:rsidDel="00000000" w:rsidP="00000000" w:rsidRDefault="00000000" w:rsidRPr="00000000" w14:paraId="00000099">
      <w:pPr>
        <w:pBdr>
          <w:top w:space="0" w:sz="0" w:val="nil"/>
          <w:left w:space="0" w:sz="0" w:val="nil"/>
          <w:bottom w:space="0" w:sz="0" w:val="nil"/>
          <w:right w:space="0" w:sz="0" w:val="nil"/>
          <w:between w:space="0" w:sz="0" w:val="nil"/>
        </w:pBdr>
        <w:ind w:left="0" w:firstLine="0"/>
        <w:rPr>
          <w:color w:val="000000"/>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10:</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before="4" w:lineRule="auto"/>
        <w:rPr>
          <w:color w:val="000000"/>
        </w:rPr>
      </w:pPr>
      <w:r w:rsidDel="00000000" w:rsidR="00000000" w:rsidRPr="00000000">
        <w:rPr>
          <w:rtl w:val="0"/>
        </w:rPr>
      </w:r>
    </w:p>
    <w:tbl>
      <w:tblPr>
        <w:tblStyle w:val="Table13"/>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2277" w:hRule="atLeast"/>
          <w:tblHeader w:val="0"/>
        </w:trPr>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Diseñar y ejecutar las condiciones generales de participación, elaboración del repertorio del concurso, y comisión de obra destinada a ser interpretada durante el concurso, las cuales deberán ser concertadas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before="2" w:line="237" w:lineRule="auto"/>
              <w:ind w:left="112" w:right="83" w:firstLine="0"/>
              <w:jc w:val="both"/>
              <w:rPr>
                <w:color w:val="000000"/>
              </w:rPr>
            </w:pPr>
            <w:r w:rsidDel="00000000" w:rsidR="00000000" w:rsidRPr="00000000">
              <w:rPr>
                <w:rtl w:val="0"/>
              </w:rPr>
              <w:t xml:space="preserve">A partir de la retroalimentación recibida en sesión de seguimiento realizada el 9 de mayo, se realizaron solicitudes de ajuste a la obra comisionada. Estos ajustes tienen como objetivo generar mayores posibilidades de circulación para la obra, más allá de su papel en el Concurso. Para tal fin, la coordinación académica ha realizado acompañamiento permanente al proceso de composición. Las partituras finales en español e inglés estarán para consultas finales del convenio en el mes de junio. </w:t>
            </w:r>
            <w:r w:rsidDel="00000000" w:rsidR="00000000" w:rsidRPr="00000000">
              <w:rPr>
                <w:rtl w:val="0"/>
              </w:rPr>
            </w:r>
          </w:p>
        </w:tc>
      </w:tr>
    </w:tbl>
    <w:p w:rsidR="00000000" w:rsidDel="00000000" w:rsidP="00000000" w:rsidRDefault="00000000" w:rsidRPr="00000000" w14:paraId="000000A1">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11:</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before="9" w:lineRule="auto"/>
        <w:rPr>
          <w:color w:val="000000"/>
        </w:rPr>
      </w:pPr>
      <w:r w:rsidDel="00000000" w:rsidR="00000000" w:rsidRPr="00000000">
        <w:rPr>
          <w:rtl w:val="0"/>
        </w:rPr>
      </w:r>
    </w:p>
    <w:tbl>
      <w:tblPr>
        <w:tblStyle w:val="Table14"/>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570" w:hRule="atLeast"/>
          <w:tblHeader w:val="0"/>
        </w:trPr>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before="4" w:line="237" w:lineRule="auto"/>
              <w:ind w:left="110" w:right="86" w:firstLine="0"/>
              <w:jc w:val="both"/>
              <w:rPr/>
            </w:pPr>
            <w:r w:rsidDel="00000000" w:rsidR="00000000" w:rsidRPr="00000000">
              <w:rPr>
                <w:rtl w:val="0"/>
              </w:rPr>
              <w:t xml:space="preserve">Gestionar y seguir la relación con patrocinadores</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before="4" w:line="237" w:lineRule="auto"/>
              <w:ind w:right="86"/>
              <w:jc w:val="both"/>
              <w:rPr>
                <w:color w:val="000000"/>
              </w:rPr>
            </w:pPr>
            <w:r w:rsidDel="00000000" w:rsidR="00000000" w:rsidRPr="00000000">
              <w:rPr>
                <w:rtl w:val="0"/>
              </w:rPr>
            </w:r>
          </w:p>
        </w:tc>
        <w:tc>
          <w:tcPr/>
          <w:p w:rsidR="00000000" w:rsidDel="00000000" w:rsidP="00000000" w:rsidRDefault="00000000" w:rsidRPr="00000000" w14:paraId="000000A8">
            <w:pPr>
              <w:spacing w:before="4" w:line="241" w:lineRule="auto"/>
              <w:ind w:left="112" w:firstLine="0"/>
              <w:jc w:val="both"/>
              <w:rPr/>
            </w:pPr>
            <w:r w:rsidDel="00000000" w:rsidR="00000000" w:rsidRPr="00000000">
              <w:rPr>
                <w:rtl w:val="0"/>
              </w:rPr>
              <w:t xml:space="preserve">Durante el periodo del informe no se realizaron gestiones adicionales con patrocinadores, ya que se hace seguimiento y formalización de alianzas con Fundación Ramirez Moreno y Fundación Davivienda. </w:t>
            </w:r>
          </w:p>
        </w:tc>
      </w:tr>
    </w:tbl>
    <w:p w:rsidR="00000000" w:rsidDel="00000000" w:rsidP="00000000" w:rsidRDefault="00000000" w:rsidRPr="00000000" w14:paraId="000000A9">
      <w:pPr>
        <w:pBdr>
          <w:top w:space="0" w:sz="0" w:val="nil"/>
          <w:left w:space="0" w:sz="0" w:val="nil"/>
          <w:bottom w:space="0" w:sz="0" w:val="nil"/>
          <w:right w:space="0" w:sz="0" w:val="nil"/>
          <w:between w:space="0" w:sz="0" w:val="nil"/>
        </w:pBdr>
        <w:spacing w:before="21" w:lineRule="auto"/>
        <w:rPr>
          <w:highlight w:val="yellow"/>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12:</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15"/>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1516" w:hRule="atLeast"/>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before="4" w:line="235" w:lineRule="auto"/>
              <w:ind w:left="110" w:right="85" w:firstLine="0"/>
              <w:jc w:val="both"/>
              <w:rPr>
                <w:color w:val="000000"/>
              </w:rPr>
            </w:pPr>
            <w:r w:rsidDel="00000000" w:rsidR="00000000" w:rsidRPr="00000000">
              <w:rPr>
                <w:rtl w:val="0"/>
              </w:rPr>
              <w:t xml:space="preserve">Gestionar y diseñar los recursos de pauta en medios, prensa internacional y plataformas digitales. </w:t>
            </w:r>
            <w:r w:rsidDel="00000000" w:rsidR="00000000" w:rsidRPr="00000000">
              <w:rPr>
                <w:rtl w:val="0"/>
              </w:rPr>
            </w:r>
          </w:p>
        </w:tc>
        <w:tc>
          <w:tcPr/>
          <w:p w:rsidR="00000000" w:rsidDel="00000000" w:rsidP="00000000" w:rsidRDefault="00000000" w:rsidRPr="00000000" w14:paraId="000000AF">
            <w:pPr>
              <w:ind w:left="112" w:right="87" w:firstLine="0"/>
              <w:jc w:val="both"/>
              <w:rPr/>
            </w:pPr>
            <w:r w:rsidDel="00000000" w:rsidR="00000000" w:rsidRPr="00000000">
              <w:rPr>
                <w:rtl w:val="0"/>
              </w:rPr>
              <w:t xml:space="preserve">Se brindó apoyo a la difusión en medios especializados, mediante el acompañamiento al proceso de articulación con Violin Channel, incluyendo articulación directa con el equipo editorial y revisión de publicaciones. Durante el periodo del informe se realizaron las siguientes publicaciones:</w:t>
            </w:r>
          </w:p>
          <w:p w:rsidR="00000000" w:rsidDel="00000000" w:rsidP="00000000" w:rsidRDefault="00000000" w:rsidRPr="00000000" w14:paraId="000000B0">
            <w:pPr>
              <w:ind w:left="112" w:right="87" w:firstLine="0"/>
              <w:jc w:val="both"/>
              <w:rPr/>
            </w:pPr>
            <w:r w:rsidDel="00000000" w:rsidR="00000000" w:rsidRPr="00000000">
              <w:rPr>
                <w:rtl w:val="0"/>
              </w:rPr>
            </w:r>
          </w:p>
          <w:p w:rsidR="00000000" w:rsidDel="00000000" w:rsidP="00000000" w:rsidRDefault="00000000" w:rsidRPr="00000000" w14:paraId="000000B1">
            <w:pPr>
              <w:ind w:left="112" w:right="87" w:firstLine="0"/>
              <w:jc w:val="both"/>
              <w:rPr/>
            </w:pPr>
            <w:r w:rsidDel="00000000" w:rsidR="00000000" w:rsidRPr="00000000">
              <w:rPr>
                <w:rtl w:val="0"/>
              </w:rPr>
              <w:t xml:space="preserve">-The Violin Channel: </w:t>
            </w:r>
          </w:p>
          <w:p w:rsidR="00000000" w:rsidDel="00000000" w:rsidP="00000000" w:rsidRDefault="00000000" w:rsidRPr="00000000" w14:paraId="000000B2">
            <w:pPr>
              <w:ind w:left="112" w:right="87" w:firstLine="0"/>
              <w:jc w:val="both"/>
              <w:rPr/>
            </w:pPr>
            <w:r w:rsidDel="00000000" w:rsidR="00000000" w:rsidRPr="00000000">
              <w:rPr>
                <w:rtl w:val="0"/>
              </w:rPr>
              <w:t xml:space="preserve">-Dos artículos con 6411 y 16899 visitas, respectivamente. </w:t>
            </w:r>
          </w:p>
          <w:p w:rsidR="00000000" w:rsidDel="00000000" w:rsidP="00000000" w:rsidRDefault="00000000" w:rsidRPr="00000000" w14:paraId="000000B3">
            <w:pPr>
              <w:ind w:left="112" w:right="87" w:firstLine="0"/>
              <w:jc w:val="both"/>
              <w:rPr/>
            </w:pPr>
            <w:r w:rsidDel="00000000" w:rsidR="00000000" w:rsidRPr="00000000">
              <w:rPr>
                <w:rtl w:val="0"/>
              </w:rPr>
              <w:t xml:space="preserve">-Banner con 582798 visualizaciones entre abril y junio.</w:t>
            </w:r>
          </w:p>
          <w:p w:rsidR="00000000" w:rsidDel="00000000" w:rsidP="00000000" w:rsidRDefault="00000000" w:rsidRPr="00000000" w14:paraId="000000B4">
            <w:pPr>
              <w:ind w:left="112" w:right="87" w:firstLine="0"/>
              <w:jc w:val="both"/>
              <w:rPr/>
            </w:pPr>
            <w:r w:rsidDel="00000000" w:rsidR="00000000" w:rsidRPr="00000000">
              <w:rPr>
                <w:rtl w:val="0"/>
              </w:rPr>
              <w:t xml:space="preserve">-Dos historias en Instagram com 1933 y 1382 visualizaciones, respectivamente.</w:t>
            </w:r>
          </w:p>
          <w:p w:rsidR="00000000" w:rsidDel="00000000" w:rsidP="00000000" w:rsidRDefault="00000000" w:rsidRPr="00000000" w14:paraId="000000B5">
            <w:pPr>
              <w:ind w:left="112" w:right="87" w:firstLine="0"/>
              <w:jc w:val="both"/>
              <w:rPr/>
            </w:pPr>
            <w:r w:rsidDel="00000000" w:rsidR="00000000" w:rsidRPr="00000000">
              <w:rPr>
                <w:rtl w:val="0"/>
              </w:rPr>
              <w:t xml:space="preserve">-Cuatro publicaciónes en Facebook con 2748, 27388, 2356 y 4835 visualizaciones.</w:t>
            </w:r>
          </w:p>
          <w:p w:rsidR="00000000" w:rsidDel="00000000" w:rsidP="00000000" w:rsidRDefault="00000000" w:rsidRPr="00000000" w14:paraId="000000B6">
            <w:pPr>
              <w:ind w:left="112" w:right="87" w:firstLine="0"/>
              <w:jc w:val="both"/>
              <w:rPr/>
            </w:pPr>
            <w:r w:rsidDel="00000000" w:rsidR="00000000" w:rsidRPr="00000000">
              <w:rPr>
                <w:rtl w:val="0"/>
              </w:rPr>
              <w:t xml:space="preserve">-20 newsletters entre abril 4 y mayo 15 con 387540 aperturas de mensajes.</w:t>
            </w:r>
          </w:p>
          <w:p w:rsidR="00000000" w:rsidDel="00000000" w:rsidP="00000000" w:rsidRDefault="00000000" w:rsidRPr="00000000" w14:paraId="000000B7">
            <w:pPr>
              <w:pBdr>
                <w:top w:space="0" w:sz="0" w:val="nil"/>
                <w:left w:space="0" w:sz="0" w:val="nil"/>
                <w:bottom w:space="0" w:sz="0" w:val="nil"/>
                <w:right w:space="0" w:sz="0" w:val="nil"/>
                <w:between w:space="0" w:sz="0" w:val="nil"/>
              </w:pBdr>
              <w:ind w:left="112" w:right="87" w:firstLine="0"/>
              <w:jc w:val="both"/>
              <w:rPr/>
            </w:pPr>
            <w:r w:rsidDel="00000000" w:rsidR="00000000" w:rsidRPr="00000000">
              <w:rPr>
                <w:rtl w:val="0"/>
              </w:rPr>
            </w:r>
          </w:p>
        </w:tc>
      </w:tr>
    </w:tbl>
    <w:p w:rsidR="00000000" w:rsidDel="00000000" w:rsidP="00000000" w:rsidRDefault="00000000" w:rsidRPr="00000000" w14:paraId="000000B8">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13:</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before="11" w:lineRule="auto"/>
        <w:rPr>
          <w:color w:val="000000"/>
        </w:rPr>
      </w:pPr>
      <w:r w:rsidDel="00000000" w:rsidR="00000000" w:rsidRPr="00000000">
        <w:rPr>
          <w:rtl w:val="0"/>
        </w:rPr>
      </w:r>
    </w:p>
    <w:tbl>
      <w:tblPr>
        <w:tblStyle w:val="Table16"/>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49" w:hRule="atLeast"/>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line="229"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line="229" w:lineRule="auto"/>
              <w:ind w:left="112" w:firstLine="0"/>
              <w:rPr>
                <w:color w:val="000000"/>
              </w:rPr>
            </w:pPr>
            <w:r w:rsidDel="00000000" w:rsidR="00000000" w:rsidRPr="00000000">
              <w:rPr>
                <w:color w:val="000000"/>
                <w:rtl w:val="0"/>
              </w:rPr>
              <w:t xml:space="preserve">ANÁLISIS DEL CUMPLIMIENTO.</w:t>
            </w:r>
          </w:p>
        </w:tc>
      </w:tr>
      <w:tr>
        <w:trPr>
          <w:cantSplit w:val="0"/>
          <w:trHeight w:val="1440" w:hRule="atLeast"/>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before="4" w:line="235" w:lineRule="auto"/>
              <w:ind w:left="110" w:right="85" w:firstLine="0"/>
              <w:jc w:val="both"/>
              <w:rPr>
                <w:color w:val="000000"/>
              </w:rPr>
            </w:pPr>
            <w:r w:rsidDel="00000000" w:rsidR="00000000" w:rsidRPr="00000000">
              <w:rPr>
                <w:rtl w:val="0"/>
              </w:rPr>
              <w:t xml:space="preserve">Diseñar y ejecutar de manera conjunta entre las partes la estrategia de prensa, publicitación y medios. </w:t>
            </w:r>
            <w:r w:rsidDel="00000000" w:rsidR="00000000" w:rsidRPr="00000000">
              <w:rPr>
                <w:rtl w:val="0"/>
              </w:rPr>
            </w:r>
          </w:p>
        </w:tc>
        <w:tc>
          <w:tcPr/>
          <w:p w:rsidR="00000000" w:rsidDel="00000000" w:rsidP="00000000" w:rsidRDefault="00000000" w:rsidRPr="00000000" w14:paraId="000000BD">
            <w:pPr>
              <w:spacing w:line="242" w:lineRule="auto"/>
              <w:ind w:left="112" w:right="83" w:firstLine="0"/>
              <w:jc w:val="both"/>
              <w:rPr/>
            </w:pPr>
            <w:r w:rsidDel="00000000" w:rsidR="00000000" w:rsidRPr="00000000">
              <w:rPr>
                <w:rtl w:val="0"/>
              </w:rPr>
              <w:t xml:space="preserve">Se realizó seguimiento a la actualización de la página web del Concurso, dando lugar a revisiones y solicitudes de ajuste, en articulación con el equipo de la SCRD.</w:t>
            </w:r>
          </w:p>
          <w:p w:rsidR="00000000" w:rsidDel="00000000" w:rsidP="00000000" w:rsidRDefault="00000000" w:rsidRPr="00000000" w14:paraId="000000BE">
            <w:pPr>
              <w:spacing w:line="242" w:lineRule="auto"/>
              <w:ind w:left="112" w:right="83" w:firstLine="0"/>
              <w:jc w:val="both"/>
              <w:rPr/>
            </w:pPr>
            <w:r w:rsidDel="00000000" w:rsidR="00000000" w:rsidRPr="00000000">
              <w:rPr>
                <w:rtl w:val="0"/>
              </w:rPr>
            </w:r>
          </w:p>
          <w:p w:rsidR="00000000" w:rsidDel="00000000" w:rsidP="00000000" w:rsidRDefault="00000000" w:rsidRPr="00000000" w14:paraId="000000BF">
            <w:pPr>
              <w:spacing w:line="242" w:lineRule="auto"/>
              <w:ind w:left="112" w:right="83" w:firstLine="0"/>
              <w:jc w:val="both"/>
              <w:rPr/>
            </w:pPr>
            <w:r w:rsidDel="00000000" w:rsidR="00000000" w:rsidRPr="00000000">
              <w:rPr>
                <w:rtl w:val="0"/>
              </w:rPr>
              <w:t xml:space="preserve">Durante el periodo del informe, la AOC gestionó 14 publicaciones en medios nacionales, tanto online como impresos y radio. El reporte detallado de la AOC está disponible para consulta en el siguiente enlace: MONITOREO PUBLICACIONES CONCURSO VIOLÍN SCRD: </w:t>
            </w:r>
          </w:p>
          <w:p w:rsidR="00000000" w:rsidDel="00000000" w:rsidP="00000000" w:rsidRDefault="00000000" w:rsidRPr="00000000" w14:paraId="000000C0">
            <w:pPr>
              <w:spacing w:line="242" w:lineRule="auto"/>
              <w:ind w:left="112" w:right="83" w:firstLine="0"/>
              <w:jc w:val="both"/>
              <w:rPr/>
            </w:pPr>
            <w:hyperlink r:id="rId16">
              <w:r w:rsidDel="00000000" w:rsidR="00000000" w:rsidRPr="00000000">
                <w:rPr>
                  <w:color w:val="1155cc"/>
                  <w:u w:val="single"/>
                  <w:rtl w:val="0"/>
                </w:rPr>
                <w:t xml:space="preserve">https://docs.google.com/spreadsheets/d/11CgkkQH2bsRsHCTCKwA_DuXy81tXaGRWZdRGMvumv3M/edit?pli=1&amp;gid=1028933370#gid=1028933370</w:t>
              </w:r>
            </w:hyperlink>
            <w:r w:rsidDel="00000000" w:rsidR="00000000" w:rsidRPr="00000000">
              <w:rPr>
                <w:rtl w:val="0"/>
              </w:rPr>
              <w:t xml:space="preserve"> </w:t>
            </w:r>
          </w:p>
        </w:tc>
      </w:tr>
    </w:tbl>
    <w:p w:rsidR="00000000" w:rsidDel="00000000" w:rsidP="00000000" w:rsidRDefault="00000000" w:rsidRPr="00000000" w14:paraId="000000C1">
      <w:pPr>
        <w:pBdr>
          <w:top w:space="0" w:sz="0" w:val="nil"/>
          <w:left w:space="0" w:sz="0" w:val="nil"/>
          <w:bottom w:space="0" w:sz="0" w:val="nil"/>
          <w:right w:space="0" w:sz="0" w:val="nil"/>
          <w:between w:space="0" w:sz="0" w:val="nil"/>
        </w:pBdr>
        <w:spacing w:before="21" w:lineRule="auto"/>
        <w:rPr>
          <w:color w:val="000000"/>
        </w:rPr>
      </w:pPr>
      <w:r w:rsidDel="00000000" w:rsidR="00000000" w:rsidRPr="00000000">
        <w:rPr>
          <w:rtl w:val="0"/>
        </w:rPr>
      </w:r>
    </w:p>
    <w:p w:rsidR="00000000" w:rsidDel="00000000" w:rsidP="00000000" w:rsidRDefault="00000000" w:rsidRPr="00000000" w14:paraId="000000C2">
      <w:pPr>
        <w:pStyle w:val="Heading1"/>
        <w:numPr>
          <w:ilvl w:val="0"/>
          <w:numId w:val="2"/>
        </w:numPr>
        <w:tabs>
          <w:tab w:val="left" w:leader="none" w:pos="622"/>
        </w:tabs>
        <w:ind w:left="622" w:hanging="358"/>
        <w:rPr/>
      </w:pPr>
      <w:r w:rsidDel="00000000" w:rsidR="00000000" w:rsidRPr="00000000">
        <w:rPr>
          <w:rtl w:val="0"/>
        </w:rPr>
        <w:t xml:space="preserve">SEGUIMIENTO A LOS RIESGOS DE LA CONTRATACIÓN</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before="184" w:line="254" w:lineRule="auto"/>
        <w:ind w:left="264" w:firstLine="0"/>
        <w:jc w:val="both"/>
        <w:rPr>
          <w:color w:val="000000"/>
        </w:rPr>
      </w:pPr>
      <w:r w:rsidDel="00000000" w:rsidR="00000000" w:rsidRPr="00000000">
        <w:rPr>
          <w:color w:val="000000"/>
          <w:rtl w:val="0"/>
        </w:rPr>
        <w:t xml:space="preserve">Conforme la matriz de riesgos definida el comité operativo no ha percibido la posible</w:t>
      </w:r>
      <w:r w:rsidDel="00000000" w:rsidR="00000000" w:rsidRPr="00000000">
        <w:rPr>
          <w:rtl w:val="0"/>
        </w:rPr>
        <w:t xml:space="preserve"> </w:t>
      </w:r>
      <w:r w:rsidDel="00000000" w:rsidR="00000000" w:rsidRPr="00000000">
        <w:rPr>
          <w:color w:val="000000"/>
          <w:rtl w:val="0"/>
        </w:rPr>
        <w:t xml:space="preserve">materialización de alguno de los riesgos, para el proceso de selección se procedió a efectuar el seguimiento de los mismos así:</w:t>
      </w:r>
    </w:p>
    <w:p w:rsidR="00000000" w:rsidDel="00000000" w:rsidP="00000000" w:rsidRDefault="00000000" w:rsidRPr="00000000" w14:paraId="000000C4">
      <w:pPr>
        <w:numPr>
          <w:ilvl w:val="0"/>
          <w:numId w:val="1"/>
        </w:numPr>
        <w:pBdr>
          <w:top w:space="0" w:sz="0" w:val="nil"/>
          <w:left w:space="0" w:sz="0" w:val="nil"/>
          <w:bottom w:space="0" w:sz="0" w:val="nil"/>
          <w:right w:space="0" w:sz="0" w:val="nil"/>
          <w:between w:space="0" w:sz="0" w:val="nil"/>
        </w:pBdr>
        <w:tabs>
          <w:tab w:val="left" w:leader="none" w:pos="562"/>
        </w:tabs>
        <w:spacing w:before="169" w:line="259" w:lineRule="auto"/>
        <w:ind w:left="264" w:right="40" w:firstLine="0"/>
        <w:jc w:val="both"/>
        <w:rPr/>
      </w:pPr>
      <w:r w:rsidDel="00000000" w:rsidR="00000000" w:rsidRPr="00000000">
        <w:rPr>
          <w:color w:val="000000"/>
          <w:rtl w:val="0"/>
        </w:rPr>
        <w:t xml:space="preserve">Cambios en la economía nacional o internacional podrían afectar el financiamiento y la sostenibilidad del proyecto. Consecuencia, demoras o imposibilidad de la ejecución del Convenio. El Asociado deberá tener en cuenta los posibles cambios en la economía al momento de presentar su propuesta.</w:t>
      </w:r>
      <w:r w:rsidDel="00000000" w:rsidR="00000000" w:rsidRPr="00000000">
        <w:rPr>
          <w:rtl w:val="0"/>
        </w:rPr>
      </w:r>
    </w:p>
    <w:p w:rsidR="00000000" w:rsidDel="00000000" w:rsidP="00000000" w:rsidRDefault="00000000" w:rsidRPr="00000000" w14:paraId="000000C5">
      <w:pPr>
        <w:numPr>
          <w:ilvl w:val="0"/>
          <w:numId w:val="1"/>
        </w:numPr>
        <w:pBdr>
          <w:top w:space="0" w:sz="0" w:val="nil"/>
          <w:left w:space="0" w:sz="0" w:val="nil"/>
          <w:bottom w:space="0" w:sz="0" w:val="nil"/>
          <w:right w:space="0" w:sz="0" w:val="nil"/>
          <w:between w:space="0" w:sz="0" w:val="nil"/>
        </w:pBdr>
        <w:tabs>
          <w:tab w:val="left" w:leader="none" w:pos="529"/>
        </w:tabs>
        <w:spacing w:before="158" w:line="259" w:lineRule="auto"/>
        <w:ind w:left="264" w:right="38" w:firstLine="0"/>
        <w:jc w:val="both"/>
        <w:rPr/>
      </w:pPr>
      <w:r w:rsidDel="00000000" w:rsidR="00000000" w:rsidRPr="00000000">
        <w:rPr>
          <w:color w:val="000000"/>
          <w:rtl w:val="0"/>
        </w:rPr>
        <w:t xml:space="preserve">Cambios en la regulación o demoras en la obtención de permisos y procesos contractuales necesarios pueden afectar los plazos y costos. Consecuencia, demoras en el inicio de ejecución del proyecto o durante su ejecución. En el evento de generarse la afectación, el asociado deberá informar al supervisor de la ocurrencia del hecho y concretar fórmulas de solución con el asociado.</w:t>
      </w:r>
      <w:r w:rsidDel="00000000" w:rsidR="00000000" w:rsidRPr="00000000">
        <w:rPr>
          <w:rtl w:val="0"/>
        </w:rPr>
      </w:r>
    </w:p>
    <w:p w:rsidR="00000000" w:rsidDel="00000000" w:rsidP="00000000" w:rsidRDefault="00000000" w:rsidRPr="00000000" w14:paraId="000000C6">
      <w:pPr>
        <w:numPr>
          <w:ilvl w:val="0"/>
          <w:numId w:val="1"/>
        </w:numPr>
        <w:pBdr>
          <w:top w:space="0" w:sz="0" w:val="nil"/>
          <w:left w:space="0" w:sz="0" w:val="nil"/>
          <w:bottom w:space="0" w:sz="0" w:val="nil"/>
          <w:right w:space="0" w:sz="0" w:val="nil"/>
          <w:between w:space="0" w:sz="0" w:val="nil"/>
        </w:pBdr>
        <w:tabs>
          <w:tab w:val="left" w:leader="none" w:pos="522"/>
        </w:tabs>
        <w:spacing w:before="158" w:line="259" w:lineRule="auto"/>
        <w:ind w:left="264" w:right="47" w:firstLine="0"/>
        <w:jc w:val="both"/>
        <w:rPr/>
      </w:pPr>
      <w:r w:rsidDel="00000000" w:rsidR="00000000" w:rsidRPr="00000000">
        <w:rPr>
          <w:color w:val="000000"/>
          <w:rtl w:val="0"/>
        </w:rPr>
        <w:t xml:space="preserve">Fallas tecnológicas en los equipos dispuestos para la ejecución del proyecto. Consecuencia, afectación directa en la ejecución del proyecto o presentaciones. El Asociado deberá contar con equipos de backup y soporte técnico para atender las posibles fallas tecnológicas que se presente.</w:t>
      </w:r>
      <w:r w:rsidDel="00000000" w:rsidR="00000000" w:rsidRPr="00000000">
        <w:rPr>
          <w:rtl w:val="0"/>
        </w:rPr>
      </w:r>
    </w:p>
    <w:p w:rsidR="00000000" w:rsidDel="00000000" w:rsidP="00000000" w:rsidRDefault="00000000" w:rsidRPr="00000000" w14:paraId="000000C7">
      <w:pPr>
        <w:numPr>
          <w:ilvl w:val="0"/>
          <w:numId w:val="1"/>
        </w:numPr>
        <w:pBdr>
          <w:top w:space="0" w:sz="0" w:val="nil"/>
          <w:left w:space="0" w:sz="0" w:val="nil"/>
          <w:bottom w:space="0" w:sz="0" w:val="nil"/>
          <w:right w:space="0" w:sz="0" w:val="nil"/>
          <w:between w:space="0" w:sz="0" w:val="nil"/>
        </w:pBdr>
        <w:tabs>
          <w:tab w:val="left" w:leader="none" w:pos="531"/>
        </w:tabs>
        <w:spacing w:before="157" w:line="259" w:lineRule="auto"/>
        <w:ind w:left="264" w:right="39" w:firstLine="0"/>
        <w:jc w:val="both"/>
        <w:rPr/>
      </w:pPr>
      <w:r w:rsidDel="00000000" w:rsidR="00000000" w:rsidRPr="00000000">
        <w:rPr>
          <w:color w:val="000000"/>
          <w:rtl w:val="0"/>
        </w:rPr>
        <w:t xml:space="preserve">Cambios de políticas gubernamentales. Consecuencia, puede conllevar a variaciones en el objeto, obligaciones, plazo y ecuación del convenio. Se deben acordar 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C8">
      <w:pPr>
        <w:numPr>
          <w:ilvl w:val="0"/>
          <w:numId w:val="1"/>
        </w:numPr>
        <w:pBdr>
          <w:top w:space="0" w:sz="0" w:val="nil"/>
          <w:left w:space="0" w:sz="0" w:val="nil"/>
          <w:bottom w:space="0" w:sz="0" w:val="nil"/>
          <w:right w:space="0" w:sz="0" w:val="nil"/>
          <w:between w:space="0" w:sz="0" w:val="nil"/>
        </w:pBdr>
        <w:tabs>
          <w:tab w:val="left" w:leader="none" w:pos="524"/>
        </w:tabs>
        <w:spacing w:before="163" w:line="259" w:lineRule="auto"/>
        <w:ind w:left="264" w:right="38" w:firstLine="0"/>
        <w:jc w:val="both"/>
        <w:rPr/>
      </w:pPr>
      <w:r w:rsidDel="00000000" w:rsidR="00000000" w:rsidRPr="00000000">
        <w:rPr>
          <w:color w:val="000000"/>
          <w:rtl w:val="0"/>
        </w:rPr>
        <w:t xml:space="preserve">Cambio de las condiciones sociales que pueden conllevar a demoras en el cumplimiento de las obligaciones del convenio o cancelación de los eventos.Se deben acordar 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C9">
      <w:pPr>
        <w:numPr>
          <w:ilvl w:val="0"/>
          <w:numId w:val="1"/>
        </w:numPr>
        <w:pBdr>
          <w:top w:space="0" w:sz="0" w:val="nil"/>
          <w:left w:space="0" w:sz="0" w:val="nil"/>
          <w:bottom w:space="0" w:sz="0" w:val="nil"/>
          <w:right w:space="0" w:sz="0" w:val="nil"/>
          <w:between w:space="0" w:sz="0" w:val="nil"/>
        </w:pBdr>
        <w:tabs>
          <w:tab w:val="left" w:leader="none" w:pos="543"/>
        </w:tabs>
        <w:spacing w:before="157" w:line="254" w:lineRule="auto"/>
        <w:ind w:left="264" w:right="47" w:firstLine="0"/>
        <w:jc w:val="both"/>
        <w:rPr/>
      </w:pPr>
      <w:r w:rsidDel="00000000" w:rsidR="00000000" w:rsidRPr="00000000">
        <w:rPr>
          <w:color w:val="000000"/>
          <w:rtl w:val="0"/>
        </w:rPr>
        <w:t xml:space="preserve">Alteraciones al orden público y condiciones climáticas que pueden llevar a demoras en el cumplimiento de las obligaciones del Convenio o cancelación de los eventos. Se deben acord</w:t>
      </w:r>
      <w:r w:rsidDel="00000000" w:rsidR="00000000" w:rsidRPr="00000000">
        <w:rPr>
          <w:rtl w:val="0"/>
        </w:rPr>
        <w:t xml:space="preserve">ar </w:t>
      </w:r>
      <w:r w:rsidDel="00000000" w:rsidR="00000000" w:rsidRPr="00000000">
        <w:rPr>
          <w:color w:val="000000"/>
          <w:rtl w:val="0"/>
        </w:rPr>
        <w:t xml:space="preserve">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CA">
      <w:pPr>
        <w:numPr>
          <w:ilvl w:val="0"/>
          <w:numId w:val="1"/>
        </w:numPr>
        <w:pBdr>
          <w:top w:space="0" w:sz="0" w:val="nil"/>
          <w:left w:space="0" w:sz="0" w:val="nil"/>
          <w:bottom w:space="0" w:sz="0" w:val="nil"/>
          <w:right w:space="0" w:sz="0" w:val="nil"/>
          <w:between w:space="0" w:sz="0" w:val="nil"/>
        </w:pBdr>
        <w:tabs>
          <w:tab w:val="left" w:leader="none" w:pos="529"/>
        </w:tabs>
        <w:spacing w:before="165" w:lineRule="auto"/>
        <w:ind w:left="264" w:right="41" w:firstLine="0"/>
        <w:jc w:val="both"/>
        <w:rPr/>
      </w:pPr>
      <w:r w:rsidDel="00000000" w:rsidR="00000000" w:rsidRPr="00000000">
        <w:rPr>
          <w:color w:val="000000"/>
          <w:rtl w:val="0"/>
        </w:rPr>
        <w:t xml:space="preserve">Falla de equipos logísticos y/o de recurso humano a cargo del Asociado. Que conlleva a la afectación en la ejecución del proyecto, representado en demoras o no cumplimiento de los cronogramas. El Asociado deberá garantizar los requisitos </w:t>
      </w:r>
      <w:r w:rsidDel="00000000" w:rsidR="00000000" w:rsidRPr="00000000">
        <w:rPr>
          <w:rtl w:val="0"/>
        </w:rPr>
        <w:t xml:space="preserve">mínimos</w:t>
      </w:r>
      <w:r w:rsidDel="00000000" w:rsidR="00000000" w:rsidRPr="00000000">
        <w:rPr>
          <w:color w:val="000000"/>
          <w:rtl w:val="0"/>
        </w:rPr>
        <w:t xml:space="preserve"> </w:t>
      </w:r>
      <w:r w:rsidDel="00000000" w:rsidR="00000000" w:rsidRPr="00000000">
        <w:rPr>
          <w:rtl w:val="0"/>
        </w:rPr>
        <w:t xml:space="preserve">logísticos</w:t>
      </w:r>
      <w:r w:rsidDel="00000000" w:rsidR="00000000" w:rsidRPr="00000000">
        <w:rPr>
          <w:color w:val="000000"/>
          <w:rtl w:val="0"/>
        </w:rPr>
        <w:t xml:space="preserve"> y vincular durante toda la ejecución del proyecto al equipo de personal exigido garantizando su permanencia durante todo el proyecto</w:t>
      </w: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before="2" w:lineRule="auto"/>
        <w:rPr>
          <w:color w:val="000000"/>
        </w:rPr>
      </w:pPr>
      <w:r w:rsidDel="00000000" w:rsidR="00000000" w:rsidRPr="00000000">
        <w:rPr>
          <w:rtl w:val="0"/>
        </w:rPr>
      </w:r>
    </w:p>
    <w:p w:rsidR="00000000" w:rsidDel="00000000" w:rsidP="00000000" w:rsidRDefault="00000000" w:rsidRPr="00000000" w14:paraId="000000CC">
      <w:pPr>
        <w:pStyle w:val="Heading1"/>
        <w:numPr>
          <w:ilvl w:val="0"/>
          <w:numId w:val="2"/>
        </w:numPr>
        <w:tabs>
          <w:tab w:val="left" w:leader="none" w:pos="622"/>
        </w:tabs>
        <w:ind w:left="622" w:hanging="358"/>
        <w:rPr/>
      </w:pPr>
      <w:r w:rsidDel="00000000" w:rsidR="00000000" w:rsidRPr="00000000">
        <w:rPr>
          <w:rtl w:val="0"/>
        </w:rPr>
        <w:t xml:space="preserve">GESTIÓN DOCUMENTAL</w:t>
      </w:r>
    </w:p>
    <w:p w:rsidR="00000000" w:rsidDel="00000000" w:rsidP="00000000" w:rsidRDefault="00000000" w:rsidRPr="00000000" w14:paraId="000000CD">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ind w:left="264" w:right="41" w:firstLine="0"/>
        <w:jc w:val="both"/>
        <w:rPr>
          <w:color w:val="000000"/>
        </w:rPr>
      </w:pPr>
      <w:r w:rsidDel="00000000" w:rsidR="00000000" w:rsidRPr="00000000">
        <w:rPr>
          <w:color w:val="000000"/>
          <w:rtl w:val="0"/>
        </w:rPr>
        <w:t xml:space="preserve">Se revisó la documentación virtual del expediente contra la física estableciendo que los documentos y evidencias soportes del cumplimiento del contrato, concuerdan y por lo tanto los mismos están completos y son consistentes.</w:t>
      </w:r>
    </w:p>
    <w:p w:rsidR="00000000" w:rsidDel="00000000" w:rsidP="00000000" w:rsidRDefault="00000000" w:rsidRPr="00000000" w14:paraId="000000CF">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D1">
      <w:pPr>
        <w:pStyle w:val="Heading1"/>
        <w:numPr>
          <w:ilvl w:val="0"/>
          <w:numId w:val="2"/>
        </w:numPr>
        <w:tabs>
          <w:tab w:val="left" w:leader="none" w:pos="826"/>
          <w:tab w:val="left" w:leader="none" w:pos="828"/>
        </w:tabs>
        <w:ind w:left="828" w:right="43" w:hanging="360"/>
        <w:rPr/>
      </w:pPr>
      <w:r w:rsidDel="00000000" w:rsidR="00000000" w:rsidRPr="00000000">
        <w:rPr>
          <w:rtl w:val="0"/>
        </w:rPr>
        <w:t xml:space="preserve">INVENTARIOS: </w:t>
      </w:r>
    </w:p>
    <w:p w:rsidR="00000000" w:rsidDel="00000000" w:rsidP="00000000" w:rsidRDefault="00000000" w:rsidRPr="00000000" w14:paraId="000000D2">
      <w:pPr>
        <w:pStyle w:val="Heading1"/>
        <w:tabs>
          <w:tab w:val="left" w:leader="none" w:pos="826"/>
          <w:tab w:val="left" w:leader="none" w:pos="828"/>
        </w:tabs>
        <w:ind w:left="0" w:right="43" w:firstLine="0"/>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before="249" w:lineRule="auto"/>
        <w:ind w:left="264" w:firstLine="0"/>
        <w:jc w:val="both"/>
        <w:rPr>
          <w:color w:val="000000"/>
        </w:rPr>
      </w:pPr>
      <w:r w:rsidDel="00000000" w:rsidR="00000000" w:rsidRPr="00000000">
        <w:rPr>
          <w:rtl w:val="0"/>
        </w:rPr>
        <w:t xml:space="preserve">No</w:t>
      </w:r>
      <w:r w:rsidDel="00000000" w:rsidR="00000000" w:rsidRPr="00000000">
        <w:rPr>
          <w:color w:val="000000"/>
          <w:rtl w:val="0"/>
        </w:rPr>
        <w:t xml:space="preserve"> aplica para este Convenio Interadministrativo</w:t>
      </w:r>
    </w:p>
    <w:p w:rsidR="00000000" w:rsidDel="00000000" w:rsidP="00000000" w:rsidRDefault="00000000" w:rsidRPr="00000000" w14:paraId="000000D4">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before="4" w:lineRule="auto"/>
        <w:rPr>
          <w:color w:val="000000"/>
        </w:rPr>
      </w:pPr>
      <w:r w:rsidDel="00000000" w:rsidR="00000000" w:rsidRPr="00000000">
        <w:rPr>
          <w:rtl w:val="0"/>
        </w:rPr>
      </w:r>
    </w:p>
    <w:p w:rsidR="00000000" w:rsidDel="00000000" w:rsidP="00000000" w:rsidRDefault="00000000" w:rsidRPr="00000000" w14:paraId="000000D6">
      <w:pPr>
        <w:numPr>
          <w:ilvl w:val="0"/>
          <w:numId w:val="2"/>
        </w:numPr>
        <w:pBdr>
          <w:top w:space="0" w:sz="0" w:val="nil"/>
          <w:left w:space="0" w:sz="0" w:val="nil"/>
          <w:bottom w:space="0" w:sz="0" w:val="nil"/>
          <w:right w:space="0" w:sz="0" w:val="nil"/>
          <w:between w:space="0" w:sz="0" w:val="nil"/>
        </w:pBdr>
        <w:tabs>
          <w:tab w:val="left" w:leader="none" w:pos="619"/>
          <w:tab w:val="left" w:leader="none" w:pos="621"/>
        </w:tabs>
        <w:ind w:left="621" w:right="45" w:hanging="360"/>
        <w:jc w:val="both"/>
        <w:rPr/>
      </w:pPr>
      <w:r w:rsidDel="00000000" w:rsidR="00000000" w:rsidRPr="00000000">
        <w:rPr>
          <w:b w:val="1"/>
          <w:color w:val="000000"/>
          <w:rtl w:val="0"/>
        </w:rPr>
        <w:t xml:space="preserve">COMITÉS TÉCNICOS U OPERATIVOS DEL CONTRATO </w:t>
      </w: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619"/>
          <w:tab w:val="left" w:leader="none" w:pos="621"/>
        </w:tabs>
        <w:ind w:left="624" w:right="45" w:firstLine="0"/>
        <w:jc w:val="both"/>
        <w:rPr>
          <w:b w:val="1"/>
        </w:rPr>
      </w:pPr>
      <w:r w:rsidDel="00000000" w:rsidR="00000000" w:rsidRPr="00000000">
        <w:rPr>
          <w:rtl w:val="0"/>
        </w:rPr>
      </w:r>
    </w:p>
    <w:tbl>
      <w:tblPr>
        <w:tblStyle w:val="Table17"/>
        <w:tblW w:w="8835.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1470"/>
        <w:gridCol w:w="2970"/>
        <w:tblGridChange w:id="0">
          <w:tblGrid>
            <w:gridCol w:w="4395"/>
            <w:gridCol w:w="1470"/>
            <w:gridCol w:w="2970"/>
          </w:tblGrid>
        </w:tblGridChange>
      </w:tblGrid>
      <w:tr>
        <w:trPr>
          <w:cantSplit w:val="0"/>
          <w:trHeight w:val="510" w:hRule="atLeast"/>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ind w:left="371" w:right="126" w:firstLine="206"/>
              <w:jc w:val="center"/>
              <w:rPr>
                <w:b w:val="1"/>
                <w:color w:val="000000"/>
              </w:rPr>
            </w:pPr>
            <w:r w:rsidDel="00000000" w:rsidR="00000000" w:rsidRPr="00000000">
              <w:rPr>
                <w:b w:val="1"/>
                <w:color w:val="000000"/>
                <w:rtl w:val="0"/>
              </w:rPr>
              <w:t xml:space="preserve">ACTAS DE COMITÉS TÉCNICOS OPERATIVOS</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before="2" w:line="288" w:lineRule="auto"/>
              <w:ind w:left="335" w:right="283" w:firstLine="5"/>
              <w:jc w:val="center"/>
              <w:rPr>
                <w:b w:val="1"/>
                <w:color w:val="000000"/>
              </w:rPr>
            </w:pPr>
            <w:r w:rsidDel="00000000" w:rsidR="00000000" w:rsidRPr="00000000">
              <w:rPr>
                <w:b w:val="1"/>
                <w:color w:val="000000"/>
                <w:rtl w:val="0"/>
              </w:rPr>
              <w:t xml:space="preserve">FECHA</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line="227" w:lineRule="auto"/>
              <w:jc w:val="center"/>
              <w:rPr>
                <w:b w:val="1"/>
                <w:color w:val="000000"/>
              </w:rPr>
            </w:pPr>
            <w:r w:rsidDel="00000000" w:rsidR="00000000" w:rsidRPr="00000000">
              <w:rPr>
                <w:b w:val="1"/>
                <w:color w:val="000000"/>
                <w:rtl w:val="0"/>
              </w:rPr>
              <w:t xml:space="preserve">NÚMERO DE RADICACIÓN</w:t>
            </w:r>
          </w:p>
        </w:tc>
      </w:tr>
      <w:tr>
        <w:trPr>
          <w:cantSplit w:val="0"/>
          <w:trHeight w:val="691" w:hRule="atLeast"/>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before="2" w:line="288" w:lineRule="auto"/>
              <w:ind w:left="139" w:right="126" w:firstLine="0"/>
              <w:rPr>
                <w:color w:val="000000"/>
              </w:rPr>
            </w:pPr>
            <w:r w:rsidDel="00000000" w:rsidR="00000000" w:rsidRPr="00000000">
              <w:rPr>
                <w:color w:val="000000"/>
                <w:rtl w:val="0"/>
              </w:rPr>
              <w:t xml:space="preserve">COMITÉ TÉCNICO OPERATIVO No. 1</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line="227" w:lineRule="auto"/>
              <w:ind w:left="155" w:firstLine="0"/>
              <w:rPr>
                <w:color w:val="000000"/>
              </w:rPr>
            </w:pPr>
            <w:r w:rsidDel="00000000" w:rsidR="00000000" w:rsidRPr="00000000">
              <w:rPr>
                <w:rtl w:val="0"/>
              </w:rPr>
              <w:t xml:space="preserve">06/12/2024</w:t>
            </w:r>
            <w:r w:rsidDel="00000000" w:rsidR="00000000" w:rsidRPr="00000000">
              <w:rPr>
                <w:rtl w:val="0"/>
              </w:rPr>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line="227" w:lineRule="auto"/>
              <w:ind w:left="151" w:firstLine="0"/>
              <w:rPr>
                <w:color w:val="000000"/>
              </w:rPr>
            </w:pPr>
            <w:r w:rsidDel="00000000" w:rsidR="00000000" w:rsidRPr="00000000">
              <w:rPr>
                <w:rtl w:val="0"/>
              </w:rPr>
              <w:t xml:space="preserve">20247100247712</w:t>
            </w:r>
            <w:r w:rsidDel="00000000" w:rsidR="00000000" w:rsidRPr="00000000">
              <w:rPr>
                <w:rtl w:val="0"/>
              </w:rPr>
            </w:r>
          </w:p>
        </w:tc>
      </w:tr>
      <w:tr>
        <w:trPr>
          <w:cantSplit w:val="0"/>
          <w:trHeight w:val="691" w:hRule="atLeast"/>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before="2" w:line="288" w:lineRule="auto"/>
              <w:ind w:left="139" w:right="126" w:firstLine="0"/>
              <w:rPr>
                <w:color w:val="000000"/>
              </w:rPr>
            </w:pPr>
            <w:r w:rsidDel="00000000" w:rsidR="00000000" w:rsidRPr="00000000">
              <w:rPr>
                <w:color w:val="000000"/>
                <w:rtl w:val="0"/>
              </w:rPr>
              <w:t xml:space="preserve">COMITÉ TÉCNICO OPERATIVO No. 2</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line="227" w:lineRule="auto"/>
              <w:ind w:left="155" w:firstLine="0"/>
              <w:rPr/>
            </w:pPr>
            <w:r w:rsidDel="00000000" w:rsidR="00000000" w:rsidRPr="00000000">
              <w:rPr>
                <w:rtl w:val="0"/>
              </w:rPr>
              <w:t xml:space="preserve">22/01/2025</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line="227" w:lineRule="auto"/>
              <w:ind w:left="151" w:firstLine="0"/>
              <w:rPr/>
            </w:pPr>
            <w:r w:rsidDel="00000000" w:rsidR="00000000" w:rsidRPr="00000000">
              <w:rPr>
                <w:rtl w:val="0"/>
              </w:rPr>
              <w:t xml:space="preserve">20251000230393</w:t>
            </w:r>
          </w:p>
        </w:tc>
      </w:tr>
      <w:tr>
        <w:trPr>
          <w:cantSplit w:val="0"/>
          <w:trHeight w:val="691" w:hRule="atLeast"/>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before="2" w:line="288" w:lineRule="auto"/>
              <w:ind w:left="139" w:right="126" w:firstLine="0"/>
              <w:rPr>
                <w:color w:val="000000"/>
              </w:rPr>
            </w:pPr>
            <w:r w:rsidDel="00000000" w:rsidR="00000000" w:rsidRPr="00000000">
              <w:rPr>
                <w:color w:val="000000"/>
                <w:rtl w:val="0"/>
              </w:rPr>
              <w:t xml:space="preserve">COMITÉ TÉCNICO OPERATIVO No. </w:t>
            </w:r>
            <w:r w:rsidDel="00000000" w:rsidR="00000000" w:rsidRPr="00000000">
              <w:rPr>
                <w:rtl w:val="0"/>
              </w:rPr>
              <w:t xml:space="preserve">3</w:t>
            </w:r>
            <w:r w:rsidDel="00000000" w:rsidR="00000000" w:rsidRPr="00000000">
              <w:rPr>
                <w:rtl w:val="0"/>
              </w:rPr>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line="227" w:lineRule="auto"/>
              <w:ind w:left="155" w:firstLine="0"/>
              <w:rPr/>
            </w:pPr>
            <w:r w:rsidDel="00000000" w:rsidR="00000000" w:rsidRPr="00000000">
              <w:rPr>
                <w:rtl w:val="0"/>
              </w:rPr>
              <w:t xml:space="preserve">19/03/2025</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line="227" w:lineRule="auto"/>
              <w:ind w:left="151" w:firstLine="0"/>
              <w:rPr/>
            </w:pPr>
            <w:r w:rsidDel="00000000" w:rsidR="00000000" w:rsidRPr="00000000">
              <w:rPr>
                <w:rtl w:val="0"/>
              </w:rPr>
              <w:t xml:space="preserve">20251000230453</w:t>
            </w:r>
          </w:p>
        </w:tc>
      </w:tr>
      <w:tr>
        <w:trPr>
          <w:cantSplit w:val="0"/>
          <w:trHeight w:val="691" w:hRule="atLeast"/>
          <w:tblHeader w:val="0"/>
        </w:trPr>
        <w:tc>
          <w:tcPr/>
          <w:p w:rsidR="00000000" w:rsidDel="00000000" w:rsidP="00000000" w:rsidRDefault="00000000" w:rsidRPr="00000000" w14:paraId="000000E4">
            <w:pPr>
              <w:spacing w:before="2" w:line="288" w:lineRule="auto"/>
              <w:ind w:left="139" w:right="126" w:firstLine="0"/>
              <w:rPr>
                <w:color w:val="000000"/>
              </w:rPr>
            </w:pPr>
            <w:r w:rsidDel="00000000" w:rsidR="00000000" w:rsidRPr="00000000">
              <w:rPr>
                <w:rtl w:val="0"/>
              </w:rPr>
              <w:t xml:space="preserve">COMITÉ TÉCNICO OPERATIVO ASINCRÓNICO No. 4</w:t>
            </w:r>
            <w:r w:rsidDel="00000000" w:rsidR="00000000" w:rsidRPr="00000000">
              <w:rPr>
                <w:rtl w:val="0"/>
              </w:rPr>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line="227" w:lineRule="auto"/>
              <w:ind w:left="155" w:firstLine="0"/>
              <w:rPr/>
            </w:pPr>
            <w:r w:rsidDel="00000000" w:rsidR="00000000" w:rsidRPr="00000000">
              <w:rPr>
                <w:rtl w:val="0"/>
              </w:rPr>
              <w:t xml:space="preserve">28/03/2025</w:t>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line="227" w:lineRule="auto"/>
              <w:ind w:left="151" w:firstLine="0"/>
              <w:rPr/>
            </w:pPr>
            <w:r w:rsidDel="00000000" w:rsidR="00000000" w:rsidRPr="00000000">
              <w:rPr>
                <w:rtl w:val="0"/>
              </w:rPr>
              <w:t xml:space="preserve">20251000230533</w:t>
            </w:r>
          </w:p>
        </w:tc>
      </w:tr>
    </w:tbl>
    <w:p w:rsidR="00000000" w:rsidDel="00000000" w:rsidP="00000000" w:rsidRDefault="00000000" w:rsidRPr="00000000" w14:paraId="000000E7">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E9">
      <w:pPr>
        <w:ind w:left="264" w:firstLine="0"/>
        <w:jc w:val="both"/>
        <w:rPr>
          <w:color w:val="000000"/>
        </w:rPr>
      </w:pPr>
      <w:r w:rsidDel="00000000" w:rsidR="00000000" w:rsidRPr="00000000">
        <w:rPr>
          <w:b w:val="1"/>
          <w:rtl w:val="0"/>
        </w:rPr>
        <w:t xml:space="preserve">COMITÉS DE OBRA DEL CONTRATO </w:t>
      </w:r>
      <w:r w:rsidDel="00000000" w:rsidR="00000000" w:rsidRPr="00000000">
        <w:rPr>
          <w:rtl w:val="0"/>
        </w:rPr>
        <w:t xml:space="preserve">(CUANDO EL CONTRATO SEA DE OBRA, SE No aplica </w:t>
      </w:r>
      <w:r w:rsidDel="00000000" w:rsidR="00000000" w:rsidRPr="00000000">
        <w:rPr>
          <w:color w:val="000000"/>
          <w:rtl w:val="0"/>
        </w:rPr>
        <w:t xml:space="preserve">para este Convenio Interadministrativo)</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before="249" w:lineRule="auto"/>
        <w:ind w:left="264" w:firstLine="0"/>
        <w:jc w:val="both"/>
        <w:rPr>
          <w:color w:val="000000"/>
        </w:rPr>
      </w:pPr>
      <w:r w:rsidDel="00000000" w:rsidR="00000000" w:rsidRPr="00000000">
        <w:rPr>
          <w:color w:val="000000"/>
          <w:rtl w:val="0"/>
        </w:rPr>
        <w:t xml:space="preserve">No aplica para este Convenio Interadministrativo</w:t>
      </w:r>
    </w:p>
    <w:p w:rsidR="00000000" w:rsidDel="00000000" w:rsidP="00000000" w:rsidRDefault="00000000" w:rsidRPr="00000000" w14:paraId="000000EB">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EC">
      <w:pPr>
        <w:pStyle w:val="Heading1"/>
        <w:numPr>
          <w:ilvl w:val="0"/>
          <w:numId w:val="2"/>
        </w:numPr>
        <w:tabs>
          <w:tab w:val="left" w:leader="none" w:pos="622"/>
        </w:tabs>
        <w:ind w:left="622" w:hanging="358"/>
        <w:rPr/>
      </w:pPr>
      <w:r w:rsidDel="00000000" w:rsidR="00000000" w:rsidRPr="00000000">
        <w:rPr>
          <w:rtl w:val="0"/>
        </w:rPr>
        <w:t xml:space="preserve">CONCLUSIONES</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line="259" w:lineRule="auto"/>
        <w:ind w:left="264" w:right="39" w:firstLine="0"/>
        <w:jc w:val="both"/>
        <w:rPr>
          <w:b w:val="1"/>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line="259" w:lineRule="auto"/>
        <w:ind w:left="264" w:right="39" w:firstLine="0"/>
        <w:jc w:val="both"/>
        <w:rPr>
          <w:color w:val="000000"/>
        </w:rPr>
      </w:pPr>
      <w:r w:rsidDel="00000000" w:rsidR="00000000" w:rsidRPr="00000000">
        <w:rPr>
          <w:color w:val="000000"/>
          <w:rtl w:val="0"/>
        </w:rPr>
        <w:t xml:space="preserve">Una vez analizados los soportes presentados por el contratista, </w:t>
      </w:r>
      <w:r w:rsidDel="00000000" w:rsidR="00000000" w:rsidRPr="00000000">
        <w:rPr>
          <w:rtl w:val="0"/>
        </w:rPr>
        <w:t xml:space="preserve">la </w:t>
      </w:r>
      <w:r w:rsidDel="00000000" w:rsidR="00000000" w:rsidRPr="00000000">
        <w:rPr>
          <w:color w:val="000000"/>
          <w:rtl w:val="0"/>
        </w:rPr>
        <w:t xml:space="preserve">supervisión certifica el cumplimiento por parte de la </w:t>
      </w:r>
      <w:r w:rsidDel="00000000" w:rsidR="00000000" w:rsidRPr="00000000">
        <w:rPr>
          <w:rtl w:val="0"/>
        </w:rPr>
        <w:t xml:space="preserve">Asociación Nacional de Música Sinfónica</w:t>
      </w:r>
      <w:r w:rsidDel="00000000" w:rsidR="00000000" w:rsidRPr="00000000">
        <w:rPr>
          <w:color w:val="000000"/>
          <w:rtl w:val="0"/>
        </w:rPr>
        <w:t xml:space="preserve"> del objeto y de cada una de las obligaciones previstas en el Convenio de Asociación No. </w:t>
      </w:r>
      <w:r w:rsidDel="00000000" w:rsidR="00000000" w:rsidRPr="00000000">
        <w:rPr>
          <w:rtl w:val="0"/>
        </w:rPr>
        <w:t xml:space="preserve">768</w:t>
      </w:r>
      <w:r w:rsidDel="00000000" w:rsidR="00000000" w:rsidRPr="00000000">
        <w:rPr>
          <w:color w:val="000000"/>
          <w:rtl w:val="0"/>
        </w:rPr>
        <w:t xml:space="preserve"> de 2024.</w:t>
      </w:r>
    </w:p>
    <w:p w:rsidR="00000000" w:rsidDel="00000000" w:rsidP="00000000" w:rsidRDefault="00000000" w:rsidRPr="00000000" w14:paraId="000000EF">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before="49" w:lineRule="auto"/>
        <w:rPr>
          <w:color w:val="000000"/>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line="250" w:lineRule="auto"/>
        <w:ind w:left="264" w:firstLine="0"/>
        <w:rPr>
          <w:color w:val="000000"/>
        </w:rPr>
      </w:pPr>
      <w:r w:rsidDel="00000000" w:rsidR="00000000" w:rsidRPr="00000000">
        <w:rPr>
          <w:color w:val="000000"/>
          <w:rtl w:val="0"/>
        </w:rPr>
        <w:t xml:space="preserve">Nombre: </w:t>
      </w:r>
      <w:r w:rsidDel="00000000" w:rsidR="00000000" w:rsidRPr="00000000">
        <w:rPr>
          <w:rtl w:val="0"/>
        </w:rPr>
        <w:t xml:space="preserve">NATALIA SEFAIR LÓPEZ</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line="250" w:lineRule="auto"/>
        <w:ind w:left="264" w:firstLine="0"/>
        <w:rPr>
          <w:color w:val="000000"/>
        </w:rPr>
      </w:pPr>
      <w:r w:rsidDel="00000000" w:rsidR="00000000" w:rsidRPr="00000000">
        <w:rPr>
          <w:color w:val="000000"/>
          <w:rtl w:val="0"/>
        </w:rPr>
        <w:t xml:space="preserve">Fecha de expedición: 31</w:t>
      </w:r>
      <w:r w:rsidDel="00000000" w:rsidR="00000000" w:rsidRPr="00000000">
        <w:rPr>
          <w:rtl w:val="0"/>
        </w:rPr>
        <w:t xml:space="preserve">/05/2025</w:t>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before="4" w:lineRule="auto"/>
        <w:ind w:left="264" w:firstLine="0"/>
        <w:rPr>
          <w:color w:val="000000"/>
        </w:rPr>
      </w:pPr>
      <w:r w:rsidDel="00000000" w:rsidR="00000000" w:rsidRPr="00000000">
        <w:rPr>
          <w:color w:val="000000"/>
          <w:rtl w:val="0"/>
        </w:rPr>
        <w:t xml:space="preserve">Radicado(s) sobre designación de supervisión.</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before="4" w:lineRule="auto"/>
        <w:ind w:left="264" w:firstLine="0"/>
        <w:rPr/>
      </w:pPr>
      <w:r w:rsidDel="00000000" w:rsidR="00000000" w:rsidRPr="00000000">
        <w:rPr>
          <w:rtl w:val="0"/>
        </w:rPr>
        <w:t xml:space="preserve">20242000508353</w:t>
      </w:r>
    </w:p>
    <w:sectPr>
      <w:headerReference r:id="rId17" w:type="default"/>
      <w:pgSz w:h="15840" w:w="12240" w:orient="portrait"/>
      <w:pgMar w:bottom="280" w:top="3040" w:left="1440" w:right="1080" w:header="1022"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p>
  <w:tbl>
    <w:tblPr>
      <w:tblStyle w:val="Table18"/>
      <w:tblW w:w="9357.0" w:type="dxa"/>
      <w:jc w:val="left"/>
      <w:tblInd w:w="35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25"/>
      <w:gridCol w:w="4736"/>
      <w:gridCol w:w="2696"/>
      <w:tblGridChange w:id="0">
        <w:tblGrid>
          <w:gridCol w:w="1925"/>
          <w:gridCol w:w="4736"/>
          <w:gridCol w:w="2696"/>
        </w:tblGrid>
      </w:tblGridChange>
    </w:tblGrid>
    <w:tr>
      <w:trPr>
        <w:cantSplit w:val="0"/>
        <w:trHeight w:val="544" w:hRule="atLeast"/>
        <w:tblHeader w:val="0"/>
      </w:trPr>
      <w:tc>
        <w:tcPr>
          <w:vMerge w:val="restart"/>
          <w:tcBorders>
            <w:bottom w:color="000000" w:space="0" w:sz="0" w:val="nil"/>
          </w:tcBorders>
        </w:tcPr>
        <w:p w:rsidR="00000000" w:rsidDel="00000000" w:rsidP="00000000" w:rsidRDefault="00000000" w:rsidRPr="00000000" w14:paraId="000000F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before="55" w:lineRule="auto"/>
            <w:ind w:left="1000" w:firstLine="0"/>
            <w:rPr>
              <w:b w:val="1"/>
              <w:color w:val="000000"/>
            </w:rPr>
          </w:pPr>
          <w:r w:rsidDel="00000000" w:rsidR="00000000" w:rsidRPr="00000000">
            <w:rPr>
              <w:b w:val="1"/>
              <w:color w:val="000000"/>
              <w:rtl w:val="0"/>
            </w:rPr>
            <w:t xml:space="preserve">GESTIÓN CONTRACTUAL</w:t>
          </w:r>
        </w:p>
      </w:tc>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before="55" w:lineRule="auto"/>
            <w:ind w:left="59" w:firstLine="0"/>
            <w:rPr>
              <w:rFonts w:ascii="Times New Roman" w:cs="Times New Roman" w:eastAsia="Times New Roman" w:hAnsi="Times New Roman"/>
              <w:color w:val="000000"/>
              <w:sz w:val="18"/>
              <w:szCs w:val="18"/>
            </w:rPr>
          </w:pPr>
          <w:r w:rsidDel="00000000" w:rsidR="00000000" w:rsidRPr="00000000">
            <w:rPr>
              <w:color w:val="000000"/>
              <w:sz w:val="16"/>
              <w:szCs w:val="16"/>
              <w:rtl w:val="0"/>
            </w:rPr>
            <w:t xml:space="preserve">CÓDIGO: </w:t>
          </w:r>
          <w:r w:rsidDel="00000000" w:rsidR="00000000" w:rsidRPr="00000000">
            <w:rPr>
              <w:rFonts w:ascii="Times New Roman" w:cs="Times New Roman" w:eastAsia="Times New Roman" w:hAnsi="Times New Roman"/>
              <w:color w:val="000000"/>
              <w:sz w:val="18"/>
              <w:szCs w:val="18"/>
              <w:rtl w:val="0"/>
            </w:rPr>
            <w:t xml:space="preserve">CON-PR-02-FR-01</w:t>
          </w:r>
        </w:p>
      </w:tc>
    </w:tr>
    <w:tr>
      <w:trPr>
        <w:cantSplit w:val="0"/>
        <w:trHeight w:val="477" w:hRule="atLeast"/>
        <w:tblHeader w:val="0"/>
      </w:trPr>
      <w:tc>
        <w:tcPr>
          <w:vMerge w:val="continue"/>
          <w:tcBorders>
            <w:bottom w:color="000000" w:space="0" w:sz="0" w:val="nil"/>
          </w:tcBorders>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18"/>
              <w:szCs w:val="18"/>
            </w:rPr>
          </w:pPr>
          <w:r w:rsidDel="00000000" w:rsidR="00000000" w:rsidRPr="00000000">
            <w:rPr>
              <w:rtl w:val="0"/>
            </w:rPr>
          </w:r>
        </w:p>
      </w:tc>
      <w:tc>
        <w:tcPr>
          <w:vMerge w:val="restart"/>
          <w:tcBorders>
            <w:bottom w:color="000000" w:space="0" w:sz="0" w:val="nil"/>
          </w:tcBorders>
        </w:tcPr>
        <w:p w:rsidR="00000000" w:rsidDel="00000000" w:rsidP="00000000" w:rsidRDefault="00000000" w:rsidRPr="00000000" w14:paraId="000000FD">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before="38"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ind w:left="763" w:firstLine="0"/>
            <w:rPr>
              <w:b w:val="1"/>
              <w:color w:val="000000"/>
              <w:sz w:val="24"/>
              <w:szCs w:val="24"/>
            </w:rPr>
          </w:pPr>
          <w:r w:rsidDel="00000000" w:rsidR="00000000" w:rsidRPr="00000000">
            <w:rPr>
              <w:b w:val="1"/>
              <w:color w:val="000000"/>
              <w:sz w:val="24"/>
              <w:szCs w:val="24"/>
              <w:rtl w:val="0"/>
            </w:rPr>
            <w:t xml:space="preserve">INFORME DE SUPERVISIÓN</w:t>
          </w:r>
        </w:p>
      </w:tc>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before="53" w:lineRule="auto"/>
            <w:ind w:left="59" w:firstLine="0"/>
            <w:rPr>
              <w:color w:val="000000"/>
              <w:sz w:val="16"/>
              <w:szCs w:val="16"/>
            </w:rPr>
          </w:pPr>
          <w:r w:rsidDel="00000000" w:rsidR="00000000" w:rsidRPr="00000000">
            <w:rPr>
              <w:color w:val="000000"/>
              <w:sz w:val="16"/>
              <w:szCs w:val="16"/>
              <w:rtl w:val="0"/>
            </w:rPr>
            <w:t xml:space="preserve">VERSIÓN: 1</w:t>
          </w:r>
        </w:p>
      </w:tc>
    </w:tr>
    <w:tr>
      <w:trPr>
        <w:cantSplit w:val="0"/>
        <w:trHeight w:val="489" w:hRule="atLeast"/>
        <w:tblHeader w:val="0"/>
      </w:trPr>
      <w:tc>
        <w:tcPr>
          <w:vMerge w:val="continue"/>
          <w:tcBorders>
            <w:bottom w:color="000000" w:space="0" w:sz="0" w:val="nil"/>
          </w:tcBorders>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before="56" w:lineRule="auto"/>
            <w:ind w:left="59" w:firstLine="0"/>
            <w:rPr>
              <w:color w:val="000000"/>
              <w:sz w:val="16"/>
              <w:szCs w:val="16"/>
            </w:rPr>
          </w:pPr>
          <w:r w:rsidDel="00000000" w:rsidR="00000000" w:rsidRPr="00000000">
            <w:rPr>
              <w:color w:val="000000"/>
              <w:sz w:val="16"/>
              <w:szCs w:val="16"/>
              <w:rtl w:val="0"/>
            </w:rPr>
            <w:t xml:space="preserve">FECHA:10/07/2024</w:t>
          </w:r>
        </w:p>
      </w:tc>
    </w:tr>
    <w:tr>
      <w:trPr>
        <w:cantSplit w:val="0"/>
        <w:trHeight w:val="470" w:hRule="atLeast"/>
        <w:tblHeader w:val="0"/>
      </w:trPr>
      <w:tc>
        <w:tcPr>
          <w:vMerge w:val="continue"/>
          <w:tcBorders>
            <w:bottom w:color="000000" w:space="0" w:sz="0" w:val="nil"/>
          </w:tcBorders>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before="56" w:lineRule="auto"/>
            <w:ind w:left="59" w:firstLine="0"/>
            <w:rPr>
              <w:color w:val="000000"/>
              <w:sz w:val="16"/>
              <w:szCs w:val="16"/>
            </w:rPr>
          </w:pPr>
          <w:r w:rsidDel="00000000" w:rsidR="00000000" w:rsidRPr="00000000">
            <w:rPr>
              <w:color w:val="000000"/>
              <w:sz w:val="16"/>
              <w:szCs w:val="16"/>
              <w:rtl w:val="0"/>
            </w:rPr>
            <w:t xml:space="preserve">HOJA: 1</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before="56" w:lineRule="auto"/>
            <w:ind w:left="59" w:firstLine="0"/>
            <w:rPr>
              <w:sz w:val="16"/>
              <w:szCs w:val="16"/>
            </w:rPr>
          </w:pPr>
          <w:r w:rsidDel="00000000" w:rsidR="00000000" w:rsidRPr="00000000">
            <w:rPr>
              <w:rtl w:val="0"/>
            </w:rPr>
          </w:r>
        </w:p>
      </w:tc>
    </w:tr>
  </w:tbl>
  <w:p w:rsidR="00000000" w:rsidDel="00000000" w:rsidP="00000000" w:rsidRDefault="00000000" w:rsidRPr="00000000" w14:paraId="00000108">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color w:val="000000"/>
        <w:sz w:val="20"/>
        <w:szCs w:val="20"/>
      </w:rPr>
      <w:drawing>
        <wp:anchor allowOverlap="1" behindDoc="1" distB="0" distT="0" distL="0" distR="0" hidden="0" layoutInCell="1" locked="0" relativeHeight="0" simplePos="0">
          <wp:simplePos x="0" y="0"/>
          <wp:positionH relativeFrom="page">
            <wp:posOffset>1357630</wp:posOffset>
          </wp:positionH>
          <wp:positionV relativeFrom="page">
            <wp:posOffset>699134</wp:posOffset>
          </wp:positionV>
          <wp:extent cx="604266" cy="662304"/>
          <wp:effectExtent b="0" l="0" r="0" t="0"/>
          <wp:wrapNone/>
          <wp:docPr id="15"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604266" cy="662304"/>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64" w:hanging="300"/>
      </w:pPr>
      <w:rPr>
        <w:rFonts w:ascii="Arial" w:cs="Arial" w:eastAsia="Arial" w:hAnsi="Arial"/>
        <w:b w:val="0"/>
        <w:i w:val="0"/>
        <w:sz w:val="22"/>
        <w:szCs w:val="22"/>
      </w:rPr>
    </w:lvl>
    <w:lvl w:ilvl="1">
      <w:start w:val="0"/>
      <w:numFmt w:val="bullet"/>
      <w:lvlText w:val="•"/>
      <w:lvlJc w:val="left"/>
      <w:pPr>
        <w:ind w:left="1206" w:hanging="300"/>
      </w:pPr>
      <w:rPr/>
    </w:lvl>
    <w:lvl w:ilvl="2">
      <w:start w:val="0"/>
      <w:numFmt w:val="bullet"/>
      <w:lvlText w:val="•"/>
      <w:lvlJc w:val="left"/>
      <w:pPr>
        <w:ind w:left="2152" w:hanging="300"/>
      </w:pPr>
      <w:rPr/>
    </w:lvl>
    <w:lvl w:ilvl="3">
      <w:start w:val="0"/>
      <w:numFmt w:val="bullet"/>
      <w:lvlText w:val="•"/>
      <w:lvlJc w:val="left"/>
      <w:pPr>
        <w:ind w:left="3098" w:hanging="300"/>
      </w:pPr>
      <w:rPr/>
    </w:lvl>
    <w:lvl w:ilvl="4">
      <w:start w:val="0"/>
      <w:numFmt w:val="bullet"/>
      <w:lvlText w:val="•"/>
      <w:lvlJc w:val="left"/>
      <w:pPr>
        <w:ind w:left="4044" w:hanging="300"/>
      </w:pPr>
      <w:rPr/>
    </w:lvl>
    <w:lvl w:ilvl="5">
      <w:start w:val="0"/>
      <w:numFmt w:val="bullet"/>
      <w:lvlText w:val="•"/>
      <w:lvlJc w:val="left"/>
      <w:pPr>
        <w:ind w:left="4990" w:hanging="300"/>
      </w:pPr>
      <w:rPr/>
    </w:lvl>
    <w:lvl w:ilvl="6">
      <w:start w:val="0"/>
      <w:numFmt w:val="bullet"/>
      <w:lvlText w:val="•"/>
      <w:lvlJc w:val="left"/>
      <w:pPr>
        <w:ind w:left="5936" w:hanging="300"/>
      </w:pPr>
      <w:rPr/>
    </w:lvl>
    <w:lvl w:ilvl="7">
      <w:start w:val="0"/>
      <w:numFmt w:val="bullet"/>
      <w:lvlText w:val="•"/>
      <w:lvlJc w:val="left"/>
      <w:pPr>
        <w:ind w:left="6882" w:hanging="300"/>
      </w:pPr>
      <w:rPr/>
    </w:lvl>
    <w:lvl w:ilvl="8">
      <w:start w:val="0"/>
      <w:numFmt w:val="bullet"/>
      <w:lvlText w:val="•"/>
      <w:lvlJc w:val="left"/>
      <w:pPr>
        <w:ind w:left="7828" w:hanging="300"/>
      </w:pPr>
      <w:rPr/>
    </w:lvl>
  </w:abstractNum>
  <w:abstractNum w:abstractNumId="2">
    <w:lvl w:ilvl="0">
      <w:start w:val="1"/>
      <w:numFmt w:val="decimal"/>
      <w:lvlText w:val="%1."/>
      <w:lvlJc w:val="left"/>
      <w:pPr>
        <w:ind w:left="624" w:hanging="360"/>
      </w:pPr>
      <w:rPr>
        <w:rFonts w:ascii="Arial" w:cs="Arial" w:eastAsia="Arial" w:hAnsi="Arial"/>
        <w:b w:val="1"/>
        <w:i w:val="0"/>
        <w:sz w:val="22"/>
        <w:szCs w:val="22"/>
      </w:rPr>
    </w:lvl>
    <w:lvl w:ilvl="1">
      <w:start w:val="1"/>
      <w:numFmt w:val="decimal"/>
      <w:lvlText w:val="%2."/>
      <w:lvlJc w:val="left"/>
      <w:pPr>
        <w:ind w:left="1094" w:hanging="360"/>
      </w:pPr>
      <w:rPr>
        <w:rFonts w:ascii="Arial" w:cs="Arial" w:eastAsia="Arial" w:hAnsi="Arial"/>
        <w:b w:val="0"/>
        <w:i w:val="0"/>
        <w:sz w:val="22"/>
        <w:szCs w:val="22"/>
      </w:rPr>
    </w:lvl>
    <w:lvl w:ilvl="2">
      <w:start w:val="0"/>
      <w:numFmt w:val="bullet"/>
      <w:lvlText w:val="•"/>
      <w:lvlJc w:val="left"/>
      <w:pPr>
        <w:ind w:left="2057" w:hanging="360"/>
      </w:pPr>
      <w:rPr/>
    </w:lvl>
    <w:lvl w:ilvl="3">
      <w:start w:val="0"/>
      <w:numFmt w:val="bullet"/>
      <w:lvlText w:val="•"/>
      <w:lvlJc w:val="left"/>
      <w:pPr>
        <w:ind w:left="3015" w:hanging="360"/>
      </w:pPr>
      <w:rPr/>
    </w:lvl>
    <w:lvl w:ilvl="4">
      <w:start w:val="0"/>
      <w:numFmt w:val="bullet"/>
      <w:lvlText w:val="•"/>
      <w:lvlJc w:val="left"/>
      <w:pPr>
        <w:ind w:left="3973" w:hanging="360"/>
      </w:pPr>
      <w:rPr/>
    </w:lvl>
    <w:lvl w:ilvl="5">
      <w:start w:val="0"/>
      <w:numFmt w:val="bullet"/>
      <w:lvlText w:val="•"/>
      <w:lvlJc w:val="left"/>
      <w:pPr>
        <w:ind w:left="4931" w:hanging="360"/>
      </w:pPr>
      <w:rPr/>
    </w:lvl>
    <w:lvl w:ilvl="6">
      <w:start w:val="0"/>
      <w:numFmt w:val="bullet"/>
      <w:lvlText w:val="•"/>
      <w:lvlJc w:val="left"/>
      <w:pPr>
        <w:ind w:left="5888" w:hanging="360"/>
      </w:pPr>
      <w:rPr/>
    </w:lvl>
    <w:lvl w:ilvl="7">
      <w:start w:val="0"/>
      <w:numFmt w:val="bullet"/>
      <w:lvlText w:val="•"/>
      <w:lvlJc w:val="left"/>
      <w:pPr>
        <w:ind w:left="6846" w:hanging="360"/>
      </w:pPr>
      <w:rPr/>
    </w:lvl>
    <w:lvl w:ilvl="8">
      <w:start w:val="0"/>
      <w:numFmt w:val="bullet"/>
      <w:lvlText w:val="•"/>
      <w:lvlJc w:val="left"/>
      <w:pPr>
        <w:ind w:left="7804"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889" w:hanging="360"/>
      </w:pPr>
      <w:rPr>
        <w:rFonts w:ascii="Noto Sans Symbols" w:cs="Noto Sans Symbols" w:eastAsia="Noto Sans Symbols" w:hAnsi="Noto Sans Symbols"/>
      </w:rPr>
    </w:lvl>
    <w:lvl w:ilvl="1">
      <w:start w:val="1"/>
      <w:numFmt w:val="bullet"/>
      <w:lvlText w:val="o"/>
      <w:lvlJc w:val="left"/>
      <w:pPr>
        <w:ind w:left="1609" w:hanging="360"/>
      </w:pPr>
      <w:rPr>
        <w:rFonts w:ascii="Courier New" w:cs="Courier New" w:eastAsia="Courier New" w:hAnsi="Courier New"/>
      </w:rPr>
    </w:lvl>
    <w:lvl w:ilvl="2">
      <w:start w:val="1"/>
      <w:numFmt w:val="bullet"/>
      <w:lvlText w:val="▪"/>
      <w:lvlJc w:val="left"/>
      <w:pPr>
        <w:ind w:left="2329" w:hanging="360"/>
      </w:pPr>
      <w:rPr>
        <w:rFonts w:ascii="Noto Sans Symbols" w:cs="Noto Sans Symbols" w:eastAsia="Noto Sans Symbols" w:hAnsi="Noto Sans Symbols"/>
      </w:rPr>
    </w:lvl>
    <w:lvl w:ilvl="3">
      <w:start w:val="1"/>
      <w:numFmt w:val="bullet"/>
      <w:lvlText w:val="●"/>
      <w:lvlJc w:val="left"/>
      <w:pPr>
        <w:ind w:left="3049" w:hanging="360"/>
      </w:pPr>
      <w:rPr>
        <w:rFonts w:ascii="Noto Sans Symbols" w:cs="Noto Sans Symbols" w:eastAsia="Noto Sans Symbols" w:hAnsi="Noto Sans Symbols"/>
      </w:rPr>
    </w:lvl>
    <w:lvl w:ilvl="4">
      <w:start w:val="1"/>
      <w:numFmt w:val="bullet"/>
      <w:lvlText w:val="o"/>
      <w:lvlJc w:val="left"/>
      <w:pPr>
        <w:ind w:left="3769" w:hanging="360"/>
      </w:pPr>
      <w:rPr>
        <w:rFonts w:ascii="Courier New" w:cs="Courier New" w:eastAsia="Courier New" w:hAnsi="Courier New"/>
      </w:rPr>
    </w:lvl>
    <w:lvl w:ilvl="5">
      <w:start w:val="1"/>
      <w:numFmt w:val="bullet"/>
      <w:lvlText w:val="▪"/>
      <w:lvlJc w:val="left"/>
      <w:pPr>
        <w:ind w:left="4489" w:hanging="360"/>
      </w:pPr>
      <w:rPr>
        <w:rFonts w:ascii="Noto Sans Symbols" w:cs="Noto Sans Symbols" w:eastAsia="Noto Sans Symbols" w:hAnsi="Noto Sans Symbols"/>
      </w:rPr>
    </w:lvl>
    <w:lvl w:ilvl="6">
      <w:start w:val="1"/>
      <w:numFmt w:val="bullet"/>
      <w:lvlText w:val="●"/>
      <w:lvlJc w:val="left"/>
      <w:pPr>
        <w:ind w:left="5209" w:hanging="360"/>
      </w:pPr>
      <w:rPr>
        <w:rFonts w:ascii="Noto Sans Symbols" w:cs="Noto Sans Symbols" w:eastAsia="Noto Sans Symbols" w:hAnsi="Noto Sans Symbols"/>
      </w:rPr>
    </w:lvl>
    <w:lvl w:ilvl="7">
      <w:start w:val="1"/>
      <w:numFmt w:val="bullet"/>
      <w:lvlText w:val="o"/>
      <w:lvlJc w:val="left"/>
      <w:pPr>
        <w:ind w:left="5929" w:hanging="360"/>
      </w:pPr>
      <w:rPr>
        <w:rFonts w:ascii="Courier New" w:cs="Courier New" w:eastAsia="Courier New" w:hAnsi="Courier New"/>
      </w:rPr>
    </w:lvl>
    <w:lvl w:ilvl="8">
      <w:start w:val="1"/>
      <w:numFmt w:val="bullet"/>
      <w:lvlText w:val="▪"/>
      <w:lvlJc w:val="left"/>
      <w:pPr>
        <w:ind w:left="6649"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ind w:left="622" w:hanging="358"/>
      <w:jc w:val="both"/>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10" w:customStyle="1">
    <w:name w:val="Table Normal1"/>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uiPriority w:val="1"/>
    <w:qFormat w:val="1"/>
    <w:pPr>
      <w:ind w:left="264" w:hanging="360"/>
      <w:jc w:val="both"/>
    </w:pPr>
  </w:style>
  <w:style w:type="paragraph" w:styleId="TableParagraph" w:customStyle="1">
    <w:name w:val="Table Paragraph"/>
    <w:basedOn w:val="Normal"/>
    <w:uiPriority w:val="1"/>
    <w:qFormat w:val="1"/>
    <w:pPr>
      <w:ind w:left="110"/>
    </w:pPr>
  </w:style>
  <w:style w:type="table" w:styleId="a" w:customStyle="1">
    <w:basedOn w:val="Tablanormal"/>
    <w:tblPr>
      <w:tblStyleRowBandSize w:val="1"/>
      <w:tblStyleColBandSize w:val="1"/>
      <w:tblCellMar>
        <w:left w:w="0.0" w:type="dxa"/>
        <w:right w:w="0.0" w:type="dxa"/>
      </w:tblCellMar>
    </w:tblPr>
  </w:style>
  <w:style w:type="table" w:styleId="a0" w:customStyle="1">
    <w:basedOn w:val="Tablanormal"/>
    <w:tblPr>
      <w:tblStyleRowBandSize w:val="1"/>
      <w:tblStyleColBandSize w:val="1"/>
      <w:tblCellMar>
        <w:left w:w="0.0" w:type="dxa"/>
        <w:right w:w="0.0" w:type="dxa"/>
      </w:tblCellMar>
    </w:tblPr>
  </w:style>
  <w:style w:type="table" w:styleId="a1" w:customStyle="1">
    <w:basedOn w:val="Tablanormal"/>
    <w:tblPr>
      <w:tblStyleRowBandSize w:val="1"/>
      <w:tblStyleColBandSize w:val="1"/>
      <w:tblCellMar>
        <w:left w:w="0.0" w:type="dxa"/>
        <w:right w:w="0.0" w:type="dxa"/>
      </w:tblCellMar>
    </w:tblPr>
  </w:style>
  <w:style w:type="table" w:styleId="a2" w:customStyle="1">
    <w:basedOn w:val="Tablanormal"/>
    <w:tblPr>
      <w:tblStyleRowBandSize w:val="1"/>
      <w:tblStyleColBandSize w:val="1"/>
      <w:tblCellMar>
        <w:left w:w="0.0" w:type="dxa"/>
        <w:right w:w="0.0" w:type="dxa"/>
      </w:tblCellMar>
    </w:tblPr>
  </w:style>
  <w:style w:type="table" w:styleId="a3" w:customStyle="1">
    <w:basedOn w:val="Tablanormal"/>
    <w:tblPr>
      <w:tblStyleRowBandSize w:val="1"/>
      <w:tblStyleColBandSize w:val="1"/>
      <w:tblCellMar>
        <w:left w:w="0.0" w:type="dxa"/>
        <w:right w:w="0.0" w:type="dxa"/>
      </w:tblCellMar>
    </w:tblPr>
  </w:style>
  <w:style w:type="table" w:styleId="a4" w:customStyle="1">
    <w:basedOn w:val="Tablanormal"/>
    <w:tblPr>
      <w:tblStyleRowBandSize w:val="1"/>
      <w:tblStyleColBandSize w:val="1"/>
      <w:tblCellMar>
        <w:left w:w="0.0" w:type="dxa"/>
        <w:right w:w="0.0" w:type="dxa"/>
      </w:tblCellMar>
    </w:tblPr>
  </w:style>
  <w:style w:type="table" w:styleId="a5" w:customStyle="1">
    <w:basedOn w:val="Tablanormal"/>
    <w:tblPr>
      <w:tblStyleRowBandSize w:val="1"/>
      <w:tblStyleColBandSize w:val="1"/>
      <w:tblCellMar>
        <w:left w:w="0.0" w:type="dxa"/>
        <w:right w:w="0.0" w:type="dxa"/>
      </w:tblCellMar>
    </w:tblPr>
  </w:style>
  <w:style w:type="table" w:styleId="a6" w:customStyle="1">
    <w:basedOn w:val="Tablanormal"/>
    <w:tblPr>
      <w:tblStyleRowBandSize w:val="1"/>
      <w:tblStyleColBandSize w:val="1"/>
      <w:tblCellMar>
        <w:left w:w="0.0" w:type="dxa"/>
        <w:right w:w="0.0" w:type="dxa"/>
      </w:tblCellMar>
    </w:tblPr>
  </w:style>
  <w:style w:type="table" w:styleId="a7" w:customStyle="1">
    <w:basedOn w:val="Tablanormal"/>
    <w:tblPr>
      <w:tblStyleRowBandSize w:val="1"/>
      <w:tblStyleColBandSize w:val="1"/>
      <w:tblCellMar>
        <w:left w:w="0.0" w:type="dxa"/>
        <w:right w:w="0.0" w:type="dxa"/>
      </w:tblCellMar>
    </w:tblPr>
  </w:style>
  <w:style w:type="table" w:styleId="a8" w:customStyle="1">
    <w:basedOn w:val="Tablanormal"/>
    <w:tblPr>
      <w:tblStyleRowBandSize w:val="1"/>
      <w:tblStyleColBandSize w:val="1"/>
      <w:tblCellMar>
        <w:left w:w="0.0" w:type="dxa"/>
        <w:right w:w="0.0" w:type="dxa"/>
      </w:tblCellMar>
    </w:tblPr>
  </w:style>
  <w:style w:type="table" w:styleId="a9" w:customStyle="1">
    <w:basedOn w:val="Tablanormal"/>
    <w:tblPr>
      <w:tblStyleRowBandSize w:val="1"/>
      <w:tblStyleColBandSize w:val="1"/>
      <w:tblCellMar>
        <w:left w:w="0.0" w:type="dxa"/>
        <w:right w:w="0.0" w:type="dxa"/>
      </w:tblCellMar>
    </w:tblPr>
  </w:style>
  <w:style w:type="table" w:styleId="aa" w:customStyle="1">
    <w:basedOn w:val="Tablanormal"/>
    <w:tblPr>
      <w:tblStyleRowBandSize w:val="1"/>
      <w:tblStyleColBandSize w:val="1"/>
      <w:tblCellMar>
        <w:left w:w="0.0" w:type="dxa"/>
        <w:right w:w="0.0" w:type="dxa"/>
      </w:tblCellMar>
    </w:tblPr>
  </w:style>
  <w:style w:type="table" w:styleId="ab" w:customStyle="1">
    <w:basedOn w:val="Tablanormal"/>
    <w:tblPr>
      <w:tblStyleRowBandSize w:val="1"/>
      <w:tblStyleColBandSize w:val="1"/>
      <w:tblCellMar>
        <w:left w:w="0.0" w:type="dxa"/>
        <w:right w:w="0.0" w:type="dxa"/>
      </w:tblCellMar>
    </w:tblPr>
  </w:style>
  <w:style w:type="table" w:styleId="ac" w:customStyle="1">
    <w:basedOn w:val="Tablanormal"/>
    <w:tblPr>
      <w:tblStyleRowBandSize w:val="1"/>
      <w:tblStyleColBandSize w:val="1"/>
      <w:tblCellMar>
        <w:left w:w="0.0" w:type="dxa"/>
        <w:right w:w="0.0" w:type="dxa"/>
      </w:tblCellMar>
    </w:tblPr>
  </w:style>
  <w:style w:type="table" w:styleId="ad" w:customStyle="1">
    <w:basedOn w:val="Tablanormal"/>
    <w:tblPr>
      <w:tblStyleRowBandSize w:val="1"/>
      <w:tblStyleColBandSize w:val="1"/>
      <w:tblCellMar>
        <w:left w:w="0.0" w:type="dxa"/>
        <w:right w:w="0.0" w:type="dxa"/>
      </w:tblCellMar>
    </w:tblPr>
  </w:style>
  <w:style w:type="table" w:styleId="ae" w:customStyle="1">
    <w:basedOn w:val="Tablanormal"/>
    <w:tblPr>
      <w:tblStyleRowBandSize w:val="1"/>
      <w:tblStyleColBandSize w:val="1"/>
      <w:tblCellMar>
        <w:left w:w="0.0" w:type="dxa"/>
        <w:right w:w="0.0" w:type="dxa"/>
      </w:tblCellMar>
    </w:tblPr>
  </w:style>
  <w:style w:type="table" w:styleId="af" w:customStyle="1">
    <w:basedOn w:val="Tablanormal"/>
    <w:tblPr>
      <w:tblStyleRowBandSize w:val="1"/>
      <w:tblStyleColBandSize w:val="1"/>
      <w:tblCellMar>
        <w:left w:w="0.0" w:type="dxa"/>
        <w:right w:w="0.0" w:type="dxa"/>
      </w:tblCellMar>
    </w:tblPr>
  </w:style>
  <w:style w:type="table" w:styleId="af0" w:customStyle="1">
    <w:basedOn w:val="Tablanormal"/>
    <w:tblPr>
      <w:tblStyleRowBandSize w:val="1"/>
      <w:tblStyleColBandSize w:val="1"/>
      <w:tblCellMar>
        <w:left w:w="0.0" w:type="dxa"/>
        <w:right w:w="0.0" w:type="dxa"/>
      </w:tblCellMar>
    </w:tblPr>
  </w:style>
  <w:style w:type="table" w:styleId="af1" w:customStyle="1">
    <w:basedOn w:val="TableNormal2"/>
    <w:tblPr>
      <w:tblStyleRowBandSize w:val="1"/>
      <w:tblStyleColBandSize w:val="1"/>
    </w:tblPr>
  </w:style>
  <w:style w:type="table" w:styleId="af2" w:customStyle="1">
    <w:basedOn w:val="TableNormal2"/>
    <w:tblPr>
      <w:tblStyleRowBandSize w:val="1"/>
      <w:tblStyleColBandSize w:val="1"/>
    </w:tblPr>
  </w:style>
  <w:style w:type="table" w:styleId="af3" w:customStyle="1">
    <w:basedOn w:val="TableNormal2"/>
    <w:tblPr>
      <w:tblStyleRowBandSize w:val="1"/>
      <w:tblStyleColBandSize w:val="1"/>
    </w:tblPr>
  </w:style>
  <w:style w:type="table" w:styleId="af4" w:customStyle="1">
    <w:basedOn w:val="TableNormal2"/>
    <w:tblPr>
      <w:tblStyleRowBandSize w:val="1"/>
      <w:tblStyleColBandSize w:val="1"/>
    </w:tblPr>
  </w:style>
  <w:style w:type="table" w:styleId="af5" w:customStyle="1">
    <w:basedOn w:val="TableNormal2"/>
    <w:tblPr>
      <w:tblStyleRowBandSize w:val="1"/>
      <w:tblStyleColBandSize w:val="1"/>
    </w:tblPr>
  </w:style>
  <w:style w:type="table" w:styleId="af6" w:customStyle="1">
    <w:basedOn w:val="TableNormal2"/>
    <w:tblPr>
      <w:tblStyleRowBandSize w:val="1"/>
      <w:tblStyleColBandSize w:val="1"/>
    </w:tblPr>
  </w:style>
  <w:style w:type="table" w:styleId="af7" w:customStyle="1">
    <w:basedOn w:val="TableNormal2"/>
    <w:tblPr>
      <w:tblStyleRowBandSize w:val="1"/>
      <w:tblStyleColBandSize w:val="1"/>
    </w:tblPr>
  </w:style>
  <w:style w:type="table" w:styleId="af8" w:customStyle="1">
    <w:basedOn w:val="TableNormal2"/>
    <w:tblPr>
      <w:tblStyleRowBandSize w:val="1"/>
      <w:tblStyleColBandSize w:val="1"/>
    </w:tblPr>
  </w:style>
  <w:style w:type="table" w:styleId="af9" w:customStyle="1">
    <w:basedOn w:val="TableNormal2"/>
    <w:tblPr>
      <w:tblStyleRowBandSize w:val="1"/>
      <w:tblStyleColBandSize w:val="1"/>
    </w:tblPr>
  </w:style>
  <w:style w:type="table" w:styleId="afa" w:customStyle="1">
    <w:basedOn w:val="TableNormal2"/>
    <w:tblPr>
      <w:tblStyleRowBandSize w:val="1"/>
      <w:tblStyleColBandSize w:val="1"/>
    </w:tblPr>
  </w:style>
  <w:style w:type="table" w:styleId="afb" w:customStyle="1">
    <w:basedOn w:val="TableNormal2"/>
    <w:tblPr>
      <w:tblStyleRowBandSize w:val="1"/>
      <w:tblStyleColBandSize w:val="1"/>
    </w:tblPr>
  </w:style>
  <w:style w:type="table" w:styleId="afc" w:customStyle="1">
    <w:basedOn w:val="TableNormal2"/>
    <w:tblPr>
      <w:tblStyleRowBandSize w:val="1"/>
      <w:tblStyleColBandSize w:val="1"/>
    </w:tblPr>
  </w:style>
  <w:style w:type="table" w:styleId="afd" w:customStyle="1">
    <w:basedOn w:val="TableNormal2"/>
    <w:tblPr>
      <w:tblStyleRowBandSize w:val="1"/>
      <w:tblStyleColBandSize w:val="1"/>
    </w:tblPr>
  </w:style>
  <w:style w:type="table" w:styleId="afe" w:customStyle="1">
    <w:basedOn w:val="TableNormal2"/>
    <w:tblPr>
      <w:tblStyleRowBandSize w:val="1"/>
      <w:tblStyleColBandSize w:val="1"/>
    </w:tblPr>
  </w:style>
  <w:style w:type="table" w:styleId="aff" w:customStyle="1">
    <w:basedOn w:val="TableNormal2"/>
    <w:tblPr>
      <w:tblStyleRowBandSize w:val="1"/>
      <w:tblStyleColBandSize w:val="1"/>
    </w:tblPr>
  </w:style>
  <w:style w:type="table" w:styleId="aff0" w:customStyle="1">
    <w:basedOn w:val="TableNormal2"/>
    <w:tblPr>
      <w:tblStyleRowBandSize w:val="1"/>
      <w:tblStyleColBandSize w:val="1"/>
    </w:tblPr>
  </w:style>
  <w:style w:type="table" w:styleId="aff1" w:customStyle="1">
    <w:basedOn w:val="TableNormal2"/>
    <w:tblPr>
      <w:tblStyleRowBandSize w:val="1"/>
      <w:tblStyleColBandSize w:val="1"/>
    </w:tblPr>
  </w:style>
  <w:style w:type="table" w:styleId="aff2" w:customStyle="1">
    <w:basedOn w:val="TableNormal2"/>
    <w:tblPr>
      <w:tblStyleRowBandSize w:val="1"/>
      <w:tblStyleColBandSize w:val="1"/>
    </w:tblPr>
  </w:style>
  <w:style w:type="paragraph" w:styleId="Textocomentario">
    <w:name w:val="annotation text"/>
    <w:basedOn w:val="Normal"/>
    <w:link w:val="TextocomentarioCar"/>
    <w:uiPriority w:val="99"/>
    <w:semiHidden w:val="1"/>
    <w:unhideWhenUsed w:val="1"/>
    <w:rPr>
      <w:sz w:val="20"/>
      <w:szCs w:val="20"/>
    </w:rPr>
  </w:style>
  <w:style w:type="character" w:styleId="TextocomentarioCar" w:customStyle="1">
    <w:name w:val="Texto comentario Car"/>
    <w:basedOn w:val="Fuentedeprrafopredeter"/>
    <w:link w:val="Textocomentario"/>
    <w:uiPriority w:val="99"/>
    <w:semiHidden w:val="1"/>
    <w:rPr>
      <w:rFonts w:ascii="Arial MT" w:cs="Arial MT" w:eastAsia="Arial MT" w:hAnsi="Arial MT"/>
      <w:sz w:val="20"/>
      <w:szCs w:val="20"/>
    </w:rPr>
  </w:style>
  <w:style w:type="character" w:styleId="Refdecomentario">
    <w:name w:val="annotation reference"/>
    <w:basedOn w:val="Fuentedeprrafopredeter"/>
    <w:uiPriority w:val="99"/>
    <w:semiHidden w:val="1"/>
    <w:unhideWhenUsed w:val="1"/>
    <w:rPr>
      <w:sz w:val="16"/>
      <w:szCs w:val="16"/>
    </w:rPr>
  </w:style>
  <w:style w:type="table" w:styleId="aff3" w:customStyle="1">
    <w:basedOn w:val="TableNormal1"/>
    <w:tblPr>
      <w:tblStyleRowBandSize w:val="1"/>
      <w:tblStyleColBandSize w:val="1"/>
    </w:tblPr>
  </w:style>
  <w:style w:type="table" w:styleId="aff4" w:customStyle="1">
    <w:basedOn w:val="TableNormal1"/>
    <w:tblPr>
      <w:tblStyleRowBandSize w:val="1"/>
      <w:tblStyleColBandSize w:val="1"/>
    </w:tblPr>
  </w:style>
  <w:style w:type="table" w:styleId="aff5" w:customStyle="1">
    <w:basedOn w:val="TableNormal1"/>
    <w:tblPr>
      <w:tblStyleRowBandSize w:val="1"/>
      <w:tblStyleColBandSize w:val="1"/>
    </w:tblPr>
  </w:style>
  <w:style w:type="table" w:styleId="aff6" w:customStyle="1">
    <w:basedOn w:val="TableNormal1"/>
    <w:tblPr>
      <w:tblStyleRowBandSize w:val="1"/>
      <w:tblStyleColBandSize w:val="1"/>
    </w:tblPr>
  </w:style>
  <w:style w:type="table" w:styleId="aff7" w:customStyle="1">
    <w:basedOn w:val="TableNormal1"/>
    <w:tblPr>
      <w:tblStyleRowBandSize w:val="1"/>
      <w:tblStyleColBandSize w:val="1"/>
    </w:tblPr>
  </w:style>
  <w:style w:type="table" w:styleId="aff8" w:customStyle="1">
    <w:basedOn w:val="TableNormal1"/>
    <w:tblPr>
      <w:tblStyleRowBandSize w:val="1"/>
      <w:tblStyleColBandSize w:val="1"/>
    </w:tblPr>
  </w:style>
  <w:style w:type="table" w:styleId="aff9" w:customStyle="1">
    <w:basedOn w:val="TableNormal1"/>
    <w:tblPr>
      <w:tblStyleRowBandSize w:val="1"/>
      <w:tblStyleColBandSize w:val="1"/>
    </w:tblPr>
  </w:style>
  <w:style w:type="table" w:styleId="affa" w:customStyle="1">
    <w:basedOn w:val="TableNormal1"/>
    <w:tblPr>
      <w:tblStyleRowBandSize w:val="1"/>
      <w:tblStyleColBandSize w:val="1"/>
    </w:tblPr>
  </w:style>
  <w:style w:type="table" w:styleId="affb" w:customStyle="1">
    <w:basedOn w:val="TableNormal1"/>
    <w:tblPr>
      <w:tblStyleRowBandSize w:val="1"/>
      <w:tblStyleColBandSize w:val="1"/>
    </w:tblPr>
  </w:style>
  <w:style w:type="table" w:styleId="affc" w:customStyle="1">
    <w:basedOn w:val="TableNormal1"/>
    <w:tblPr>
      <w:tblStyleRowBandSize w:val="1"/>
      <w:tblStyleColBandSize w:val="1"/>
    </w:tblPr>
  </w:style>
  <w:style w:type="table" w:styleId="affd" w:customStyle="1">
    <w:basedOn w:val="TableNormal1"/>
    <w:tblPr>
      <w:tblStyleRowBandSize w:val="1"/>
      <w:tblStyleColBandSize w:val="1"/>
    </w:tblPr>
  </w:style>
  <w:style w:type="table" w:styleId="affe" w:customStyle="1">
    <w:basedOn w:val="TableNormal1"/>
    <w:tblPr>
      <w:tblStyleRowBandSize w:val="1"/>
      <w:tblStyleColBandSize w:val="1"/>
    </w:tblPr>
  </w:style>
  <w:style w:type="table" w:styleId="afff" w:customStyle="1">
    <w:basedOn w:val="TableNormal1"/>
    <w:tblPr>
      <w:tblStyleRowBandSize w:val="1"/>
      <w:tblStyleColBandSize w:val="1"/>
    </w:tblPr>
  </w:style>
  <w:style w:type="table" w:styleId="afff0" w:customStyle="1">
    <w:basedOn w:val="TableNormal1"/>
    <w:tblPr>
      <w:tblStyleRowBandSize w:val="1"/>
      <w:tblStyleColBandSize w:val="1"/>
    </w:tblPr>
  </w:style>
  <w:style w:type="table" w:styleId="afff1" w:customStyle="1">
    <w:basedOn w:val="TableNormal1"/>
    <w:tblPr>
      <w:tblStyleRowBandSize w:val="1"/>
      <w:tblStyleColBandSize w:val="1"/>
    </w:tblPr>
  </w:style>
  <w:style w:type="table" w:styleId="afff2" w:customStyle="1">
    <w:basedOn w:val="TableNormal1"/>
    <w:tblPr>
      <w:tblStyleRowBandSize w:val="1"/>
      <w:tblStyleColBandSize w:val="1"/>
    </w:tblPr>
  </w:style>
  <w:style w:type="table" w:styleId="afff3" w:customStyle="1">
    <w:basedOn w:val="TableNormal1"/>
    <w:tblPr>
      <w:tblStyleRowBandSize w:val="1"/>
      <w:tblStyleColBandSize w:val="1"/>
    </w:tblPr>
  </w:style>
  <w:style w:type="table" w:styleId="afff4" w:customStyle="1">
    <w:basedOn w:val="TableNormal1"/>
    <w:tblPr>
      <w:tblStyleRowBandSize w:val="1"/>
      <w:tblStyleColBandSize w:val="1"/>
    </w:tblPr>
  </w:style>
  <w:style w:type="paragraph" w:styleId="Encabezado">
    <w:name w:val="header"/>
    <w:basedOn w:val="Normal"/>
    <w:link w:val="EncabezadoCar"/>
    <w:uiPriority w:val="99"/>
    <w:unhideWhenUsed w:val="1"/>
    <w:rsid w:val="00756264"/>
    <w:pPr>
      <w:tabs>
        <w:tab w:val="center" w:pos="4419"/>
        <w:tab w:val="right" w:pos="8838"/>
      </w:tabs>
    </w:pPr>
  </w:style>
  <w:style w:type="character" w:styleId="EncabezadoCar" w:customStyle="1">
    <w:name w:val="Encabezado Car"/>
    <w:basedOn w:val="Fuentedeprrafopredeter"/>
    <w:link w:val="Encabezado"/>
    <w:uiPriority w:val="99"/>
    <w:rsid w:val="00756264"/>
    <w:rPr>
      <w:rFonts w:ascii="Arial MT" w:cs="Arial MT" w:eastAsia="Arial MT" w:hAnsi="Arial MT"/>
    </w:rPr>
  </w:style>
  <w:style w:type="paragraph" w:styleId="Piedepgina">
    <w:name w:val="footer"/>
    <w:basedOn w:val="Normal"/>
    <w:link w:val="PiedepginaCar"/>
    <w:uiPriority w:val="99"/>
    <w:unhideWhenUsed w:val="1"/>
    <w:rsid w:val="00756264"/>
    <w:pPr>
      <w:tabs>
        <w:tab w:val="center" w:pos="4419"/>
        <w:tab w:val="right" w:pos="8838"/>
      </w:tabs>
    </w:pPr>
  </w:style>
  <w:style w:type="character" w:styleId="PiedepginaCar" w:customStyle="1">
    <w:name w:val="Pie de página Car"/>
    <w:basedOn w:val="Fuentedeprrafopredeter"/>
    <w:link w:val="Piedepgina"/>
    <w:uiPriority w:val="99"/>
    <w:rsid w:val="00756264"/>
    <w:rPr>
      <w:rFonts w:ascii="Arial MT" w:cs="Arial MT" w:eastAsia="Arial MT" w:hAnsi="Arial MT"/>
    </w:rPr>
  </w:style>
  <w:style w:type="character" w:styleId="Hipervnculo">
    <w:name w:val="Hyperlink"/>
    <w:basedOn w:val="Fuentedeprrafopredeter"/>
    <w:uiPriority w:val="99"/>
    <w:unhideWhenUsed w:val="1"/>
    <w:rsid w:val="00756264"/>
    <w:rPr>
      <w:color w:val="0000ff" w:themeColor="hyperlink"/>
      <w:u w:val="single"/>
    </w:rPr>
  </w:style>
  <w:style w:type="character" w:styleId="Mencinsinresolver">
    <w:name w:val="Unresolved Mention"/>
    <w:basedOn w:val="Fuentedeprrafopredeter"/>
    <w:uiPriority w:val="99"/>
    <w:semiHidden w:val="1"/>
    <w:unhideWhenUsed w:val="1"/>
    <w:rsid w:val="00756264"/>
    <w:rPr>
      <w:color w:val="605e5c"/>
      <w:shd w:color="auto" w:fill="e1dfdd" w:val="clear"/>
    </w:rPr>
  </w:style>
  <w:style w:type="paragraph" w:styleId="NormalWeb">
    <w:name w:val="Normal (Web)"/>
    <w:basedOn w:val="Normal"/>
    <w:uiPriority w:val="99"/>
    <w:unhideWhenUsed w:val="1"/>
    <w:rsid w:val="009118CF"/>
    <w:pPr>
      <w:widowControl w:val="1"/>
      <w:spacing w:after="100" w:afterAutospacing="1" w:before="100" w:beforeAutospacing="1"/>
    </w:pPr>
    <w:rPr>
      <w:rFonts w:ascii="Times New Roman" w:cs="Times New Roman" w:eastAsia="Times New Roman" w:hAnsi="Times New Roman"/>
      <w:sz w:val="24"/>
      <w:szCs w:val="24"/>
      <w:lang w:val="es-CO"/>
    </w:rPr>
  </w:style>
  <w:style w:type="character" w:styleId="Hipervnculovisitado">
    <w:name w:val="FollowedHyperlink"/>
    <w:basedOn w:val="Fuentedeprrafopredeter"/>
    <w:uiPriority w:val="99"/>
    <w:semiHidden w:val="1"/>
    <w:unhideWhenUsed w:val="1"/>
    <w:rsid w:val="0022632A"/>
    <w:rPr>
      <w:color w:val="800080" w:themeColor="followedHyperlink"/>
      <w:u w:val="single"/>
    </w:rPr>
  </w:style>
  <w:style w:type="table" w:styleId="afff5" w:customStyle="1">
    <w:basedOn w:val="TableNormal0"/>
    <w:tblPr>
      <w:tblStyleRowBandSize w:val="1"/>
      <w:tblStyleColBandSize w:val="1"/>
    </w:tblPr>
  </w:style>
  <w:style w:type="table" w:styleId="afff6" w:customStyle="1">
    <w:basedOn w:val="TableNormal0"/>
    <w:tblPr>
      <w:tblStyleRowBandSize w:val="1"/>
      <w:tblStyleColBandSize w:val="1"/>
    </w:tblPr>
  </w:style>
  <w:style w:type="table" w:styleId="afff7" w:customStyle="1">
    <w:basedOn w:val="TableNormal0"/>
    <w:tblPr>
      <w:tblStyleRowBandSize w:val="1"/>
      <w:tblStyleColBandSize w:val="1"/>
    </w:tblPr>
  </w:style>
  <w:style w:type="table" w:styleId="afff8" w:customStyle="1">
    <w:basedOn w:val="TableNormal0"/>
    <w:tblPr>
      <w:tblStyleRowBandSize w:val="1"/>
      <w:tblStyleColBandSize w:val="1"/>
    </w:tblPr>
  </w:style>
  <w:style w:type="table" w:styleId="afff9" w:customStyle="1">
    <w:basedOn w:val="TableNormal0"/>
    <w:tblPr>
      <w:tblStyleRowBandSize w:val="1"/>
      <w:tblStyleColBandSize w:val="1"/>
    </w:tblPr>
  </w:style>
  <w:style w:type="table" w:styleId="afffa" w:customStyle="1">
    <w:basedOn w:val="TableNormal0"/>
    <w:tblPr>
      <w:tblStyleRowBandSize w:val="1"/>
      <w:tblStyleColBandSize w:val="1"/>
    </w:tblPr>
  </w:style>
  <w:style w:type="table" w:styleId="afffb" w:customStyle="1">
    <w:basedOn w:val="TableNormal0"/>
    <w:tblPr>
      <w:tblStyleRowBandSize w:val="1"/>
      <w:tblStyleColBandSize w:val="1"/>
    </w:tblPr>
  </w:style>
  <w:style w:type="table" w:styleId="afffc" w:customStyle="1">
    <w:basedOn w:val="TableNormal0"/>
    <w:tblPr>
      <w:tblStyleRowBandSize w:val="1"/>
      <w:tblStyleColBandSize w:val="1"/>
    </w:tblPr>
  </w:style>
  <w:style w:type="table" w:styleId="afffd" w:customStyle="1">
    <w:basedOn w:val="TableNormal0"/>
    <w:tblPr>
      <w:tblStyleRowBandSize w:val="1"/>
      <w:tblStyleColBandSize w:val="1"/>
    </w:tblPr>
  </w:style>
  <w:style w:type="table" w:styleId="afffe" w:customStyle="1">
    <w:basedOn w:val="TableNormal0"/>
    <w:tblPr>
      <w:tblStyleRowBandSize w:val="1"/>
      <w:tblStyleColBandSize w:val="1"/>
    </w:tblPr>
  </w:style>
  <w:style w:type="table" w:styleId="affff" w:customStyle="1">
    <w:basedOn w:val="TableNormal0"/>
    <w:tblPr>
      <w:tblStyleRowBandSize w:val="1"/>
      <w:tblStyleColBandSize w:val="1"/>
    </w:tblPr>
  </w:style>
  <w:style w:type="table" w:styleId="affff0" w:customStyle="1">
    <w:basedOn w:val="TableNormal0"/>
    <w:tblPr>
      <w:tblStyleRowBandSize w:val="1"/>
      <w:tblStyleColBandSize w:val="1"/>
    </w:tblPr>
  </w:style>
  <w:style w:type="table" w:styleId="affff1" w:customStyle="1">
    <w:basedOn w:val="TableNormal0"/>
    <w:tblPr>
      <w:tblStyleRowBandSize w:val="1"/>
      <w:tblStyleColBandSize w:val="1"/>
    </w:tblPr>
  </w:style>
  <w:style w:type="table" w:styleId="affff2" w:customStyle="1">
    <w:basedOn w:val="TableNormal0"/>
    <w:tblPr>
      <w:tblStyleRowBandSize w:val="1"/>
      <w:tblStyleColBandSize w:val="1"/>
    </w:tblPr>
  </w:style>
  <w:style w:type="table" w:styleId="affff3" w:customStyle="1">
    <w:basedOn w:val="TableNormal0"/>
    <w:tblPr>
      <w:tblStyleRowBandSize w:val="1"/>
      <w:tblStyleColBandSize w:val="1"/>
    </w:tblPr>
  </w:style>
  <w:style w:type="table" w:styleId="affff4" w:customStyle="1">
    <w:basedOn w:val="TableNormal0"/>
    <w:tblPr>
      <w:tblStyleRowBandSize w:val="1"/>
      <w:tblStyleColBandSize w:val="1"/>
    </w:tblPr>
  </w:style>
  <w:style w:type="table" w:styleId="affff5" w:customStyle="1">
    <w:basedOn w:val="TableNormal0"/>
    <w:tblPr>
      <w:tblStyleRowBandSize w:val="1"/>
      <w:tblStyleColBandSize w:val="1"/>
    </w:tblPr>
  </w:style>
  <w:style w:type="table" w:styleId="affff6" w:customStyle="1">
    <w:basedOn w:val="TableNormal0"/>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spreadsheets/d/1nc2pEnobA92iyNxqPSnpDHNr5BNHikL4/edit?usp=drive_link&amp;ouid=103450912699124565243&amp;rtpof=true&amp;sd=true" TargetMode="External"/><Relationship Id="rId10" Type="http://schemas.openxmlformats.org/officeDocument/2006/relationships/hyperlink" Target="https://docs.google.com/forms/d/e/1FAIpQLSd-fpp0LIR_KQ5SHkcBL2FcZPWKAQ4KDgFOW_YaN3reV1UeLw/viewform" TargetMode="External"/><Relationship Id="rId13" Type="http://schemas.openxmlformats.org/officeDocument/2006/relationships/hyperlink" Target="https://docs.google.com/spreadsheets/d/1ESujooKtngiB9DcPSLsGccR3kKL1HiLkCcnJ9gHmaSU/edit?gid=0#gid=0" TargetMode="External"/><Relationship Id="rId12" Type="http://schemas.openxmlformats.org/officeDocument/2006/relationships/hyperlink" Target="https://drive.google.com/drive/u/0/folders/1o79La_5ueuyGgdW5uVHy6R0wI-SeHiuQ"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spreadsheets/d/1wEunqj4a0fhwfya6mk3RNFL7MQ1uu0bvKnp-sJ5F5EE/edit?gid=0#gid=0" TargetMode="External"/><Relationship Id="rId15" Type="http://schemas.openxmlformats.org/officeDocument/2006/relationships/hyperlink" Target="https://lookerstudio.google.com/u/0/reporting/5c37ab4c-edbf-44bc-aa67-3dc14c297c47/page/p_lerut4l3sd/edit" TargetMode="External"/><Relationship Id="rId14" Type="http://schemas.openxmlformats.org/officeDocument/2006/relationships/hyperlink" Target="https://drive.google.com/file/d/1QIF_e2f_Ms2pxldpsW756_RXJnnuGvTM/view?usp=drive_link" TargetMode="External"/><Relationship Id="rId17" Type="http://schemas.openxmlformats.org/officeDocument/2006/relationships/header" Target="header1.xml"/><Relationship Id="rId16" Type="http://schemas.openxmlformats.org/officeDocument/2006/relationships/hyperlink" Target="https://docs.google.com/spreadsheets/d/11CgkkQH2bsRsHCTCKwA_DuXy81tXaGRWZdRGMvumv3M/edit?pli=1&amp;gid=1028933370#gid=1028933370"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s://docs.google.com/document/d/1THOJOvEaz-hTGqDA1dlgzst3ZZXFMrU-lERvGP0243s/edit?tab=t.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8U8RCWXgPoReaEXyyQaewFwyw==">CgMxLjA4AHIhMXhRX1J5V0lUTF9zVGkyaklWU0Q2b1pqRHFSV0V2ZG1T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2025-04-21T14:34:00Z</dcterms:created>
  <dc:creator>Edna Cortes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2024-09-20T00:00:00Z</vt:filetime>
  </property>
  <property fmtid="{D5CDD505-2E9C-101B-9397-08002B2CF9AE}" pid="3" name="Creator">
    <vt:lpwstr>Microsoft® Word para Microsoft 365</vt:lpwstr>
  </property>
  <property fmtid="{D5CDD505-2E9C-101B-9397-08002B2CF9AE}" pid="4" name="LastSaved">
    <vt:filetime>2024-12-17T00:00:00Z</vt:filetime>
  </property>
  <property fmtid="{D5CDD505-2E9C-101B-9397-08002B2CF9AE}" pid="5" name="Producer">
    <vt:lpwstr>Microsoft® Word para Microsoft 365</vt:lpwstr>
  </property>
</Properties>
</file>